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C3CB9" w14:textId="77777777" w:rsidR="00B25D5C" w:rsidRDefault="00090085" w:rsidP="00B25D5C">
      <w:pPr>
        <w:spacing w:after="0"/>
        <w:ind w:left="0" w:firstLine="0"/>
      </w:pPr>
      <w:r>
        <w:t xml:space="preserve"> </w:t>
      </w:r>
      <w:r>
        <w:rPr>
          <w:rFonts w:ascii="Calibri" w:eastAsia="Calibri" w:hAnsi="Calibri" w:cs="Calibri"/>
          <w:sz w:val="22"/>
        </w:rPr>
        <w:t xml:space="preserve">  </w:t>
      </w:r>
      <w:r w:rsidR="00B25D5C">
        <w:rPr>
          <w:rFonts w:ascii="Calibri" w:eastAsia="Calibri" w:hAnsi="Calibri" w:cs="Calibri"/>
          <w:sz w:val="22"/>
        </w:rPr>
        <w:t xml:space="preserve">                                                              </w:t>
      </w:r>
      <w:r w:rsidR="00B25D5C">
        <w:rPr>
          <w:rFonts w:ascii="Arial" w:eastAsia="Arial" w:hAnsi="Arial" w:cs="Arial"/>
          <w:b/>
          <w:sz w:val="32"/>
        </w:rPr>
        <w:t xml:space="preserve"> </w:t>
      </w:r>
    </w:p>
    <w:p w14:paraId="4DA83A41" w14:textId="2704CC15" w:rsidR="00B25D5C" w:rsidRDefault="00B25D5C" w:rsidP="00B25D5C">
      <w:pPr>
        <w:spacing w:after="0"/>
        <w:ind w:right="4"/>
        <w:rPr>
          <w:rFonts w:ascii="Arial" w:eastAsia="Arial" w:hAnsi="Arial" w:cs="Arial"/>
          <w:b/>
          <w:sz w:val="32"/>
        </w:rPr>
      </w:pPr>
      <w:r>
        <w:rPr>
          <w:noProof/>
          <w:sz w:val="28"/>
          <w:szCs w:val="28"/>
        </w:rPr>
        <w:drawing>
          <wp:inline distT="0" distB="0" distL="0" distR="0" wp14:anchorId="4AA66D9F" wp14:editId="6B453E4D">
            <wp:extent cx="1351867" cy="1510030"/>
            <wp:effectExtent l="0" t="0" r="1270" b="0"/>
            <wp:docPr id="2042684543" name="image1.png" descr="Center for International Affairs"/>
            <wp:cNvGraphicFramePr/>
            <a:graphic xmlns:a="http://schemas.openxmlformats.org/drawingml/2006/main">
              <a:graphicData uri="http://schemas.openxmlformats.org/drawingml/2006/picture">
                <pic:pic xmlns:pic="http://schemas.openxmlformats.org/drawingml/2006/picture">
                  <pic:nvPicPr>
                    <pic:cNvPr id="0" name="image1.png" descr="Center for International Affairs"/>
                    <pic:cNvPicPr preferRelativeResize="0"/>
                  </pic:nvPicPr>
                  <pic:blipFill>
                    <a:blip r:embed="rId5"/>
                    <a:srcRect/>
                    <a:stretch>
                      <a:fillRect/>
                    </a:stretch>
                  </pic:blipFill>
                  <pic:spPr>
                    <a:xfrm>
                      <a:off x="0" y="0"/>
                      <a:ext cx="1361573" cy="1520872"/>
                    </a:xfrm>
                    <a:prstGeom prst="rect">
                      <a:avLst/>
                    </a:prstGeom>
                    <a:ln/>
                  </pic:spPr>
                </pic:pic>
              </a:graphicData>
            </a:graphic>
          </wp:inline>
        </w:drawing>
      </w:r>
      <w:r>
        <w:rPr>
          <w:rFonts w:ascii="Arial" w:eastAsia="Arial" w:hAnsi="Arial" w:cs="Arial"/>
          <w:b/>
          <w:sz w:val="32"/>
        </w:rPr>
        <w:t xml:space="preserve">                                                         </w:t>
      </w:r>
      <w:r>
        <w:rPr>
          <w:noProof/>
          <w:sz w:val="28"/>
          <w:szCs w:val="28"/>
        </w:rPr>
        <w:drawing>
          <wp:inline distT="0" distB="0" distL="0" distR="0" wp14:anchorId="7E1611B9" wp14:editId="4F37C176">
            <wp:extent cx="1666875" cy="1583531"/>
            <wp:effectExtent l="0" t="0" r="0" b="0"/>
            <wp:docPr id="1054067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67124" name="Picture 105406712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9138" cy="1585681"/>
                    </a:xfrm>
                    <a:prstGeom prst="rect">
                      <a:avLst/>
                    </a:prstGeom>
                  </pic:spPr>
                </pic:pic>
              </a:graphicData>
            </a:graphic>
          </wp:inline>
        </w:drawing>
      </w:r>
    </w:p>
    <w:p w14:paraId="455FDF08" w14:textId="77777777" w:rsidR="00B25D5C" w:rsidRDefault="00B25D5C" w:rsidP="00B25D5C">
      <w:pPr>
        <w:spacing w:after="0"/>
        <w:ind w:left="0" w:firstLine="0"/>
        <w:jc w:val="center"/>
      </w:pPr>
      <w:r>
        <w:rPr>
          <w:rFonts w:ascii="Arial" w:eastAsia="Arial" w:hAnsi="Arial" w:cs="Arial"/>
          <w:b/>
          <w:sz w:val="32"/>
        </w:rPr>
        <w:t xml:space="preserve">                          </w:t>
      </w:r>
    </w:p>
    <w:p w14:paraId="7F728555" w14:textId="34DE8377" w:rsidR="00B25D5C" w:rsidRDefault="00B25D5C" w:rsidP="00B25D5C">
      <w:pPr>
        <w:spacing w:after="0"/>
        <w:ind w:left="0" w:right="4" w:firstLine="0"/>
      </w:pPr>
      <w:r>
        <w:rPr>
          <w:rFonts w:ascii="Arial" w:eastAsia="Arial" w:hAnsi="Arial" w:cs="Arial"/>
          <w:b/>
          <w:sz w:val="32"/>
        </w:rPr>
        <w:t xml:space="preserve">                                        FACT SHEET </w:t>
      </w:r>
    </w:p>
    <w:p w14:paraId="1B144A26" w14:textId="1EA17B68" w:rsidR="00B25D5C" w:rsidRPr="00B25D5C" w:rsidRDefault="00B25D5C" w:rsidP="00B25D5C">
      <w:pPr>
        <w:spacing w:after="0"/>
        <w:ind w:left="0" w:firstLine="0"/>
        <w:jc w:val="center"/>
        <w:rPr>
          <w:b/>
          <w:bCs/>
          <w:sz w:val="28"/>
          <w:szCs w:val="28"/>
        </w:rPr>
      </w:pPr>
      <w:r w:rsidRPr="00B25D5C">
        <w:rPr>
          <w:b/>
          <w:bCs/>
          <w:sz w:val="28"/>
          <w:szCs w:val="28"/>
        </w:rPr>
        <w:t xml:space="preserve">2+2 PATHWAY PROGRAM WITH UNIVERSITY OF WOLLONGONG </w:t>
      </w:r>
    </w:p>
    <w:p w14:paraId="424CFC87" w14:textId="389EB36B" w:rsidR="00B25D5C" w:rsidRDefault="00B25D5C" w:rsidP="00B25D5C">
      <w:pPr>
        <w:spacing w:after="67"/>
        <w:ind w:left="0" w:firstLine="0"/>
        <w:jc w:val="left"/>
      </w:pPr>
    </w:p>
    <w:p w14:paraId="1E809C50" w14:textId="77777777" w:rsidR="00B25D5C" w:rsidRDefault="00B25D5C" w:rsidP="00B25D5C">
      <w:pPr>
        <w:spacing w:after="0"/>
        <w:ind w:left="0" w:firstLine="0"/>
        <w:jc w:val="left"/>
      </w:pPr>
      <w:r>
        <w:rPr>
          <w:sz w:val="20"/>
        </w:rPr>
        <w:t xml:space="preserve"> </w:t>
      </w:r>
    </w:p>
    <w:tbl>
      <w:tblPr>
        <w:tblStyle w:val="TableGrid"/>
        <w:tblW w:w="9010" w:type="dxa"/>
        <w:tblInd w:w="9" w:type="dxa"/>
        <w:tblCellMar>
          <w:left w:w="108" w:type="dxa"/>
          <w:right w:w="115" w:type="dxa"/>
        </w:tblCellMar>
        <w:tblLook w:val="04A0" w:firstRow="1" w:lastRow="0" w:firstColumn="1" w:lastColumn="0" w:noHBand="0" w:noVBand="1"/>
      </w:tblPr>
      <w:tblGrid>
        <w:gridCol w:w="2545"/>
        <w:gridCol w:w="6465"/>
      </w:tblGrid>
      <w:tr w:rsidR="00B25D5C" w14:paraId="70FF43C5" w14:textId="77777777" w:rsidTr="00004BD3">
        <w:trPr>
          <w:trHeight w:val="1016"/>
        </w:trPr>
        <w:tc>
          <w:tcPr>
            <w:tcW w:w="254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6F977AA" w14:textId="1890E92D" w:rsidR="00B25D5C" w:rsidRPr="00406262" w:rsidRDefault="00B25D5C" w:rsidP="00004BD3">
            <w:pPr>
              <w:spacing w:after="0"/>
              <w:ind w:left="0" w:firstLine="0"/>
              <w:jc w:val="left"/>
              <w:rPr>
                <w:b/>
                <w:bCs/>
              </w:rPr>
            </w:pPr>
            <w:r w:rsidRPr="00406262">
              <w:rPr>
                <w:b/>
                <w:bCs/>
              </w:rPr>
              <w:t xml:space="preserve">Full name of </w:t>
            </w:r>
            <w:r w:rsidR="00A84ED7" w:rsidRPr="00406262">
              <w:rPr>
                <w:b/>
                <w:bCs/>
              </w:rPr>
              <w:t xml:space="preserve">the </w:t>
            </w:r>
            <w:r w:rsidRPr="00406262">
              <w:rPr>
                <w:b/>
                <w:bCs/>
              </w:rPr>
              <w:t xml:space="preserve">University </w:t>
            </w:r>
          </w:p>
        </w:tc>
        <w:tc>
          <w:tcPr>
            <w:tcW w:w="6465" w:type="dxa"/>
            <w:tcBorders>
              <w:top w:val="single" w:sz="4" w:space="0" w:color="000000"/>
              <w:left w:val="single" w:sz="4" w:space="0" w:color="000000"/>
              <w:bottom w:val="single" w:sz="4" w:space="0" w:color="000000"/>
              <w:right w:val="single" w:sz="4" w:space="0" w:color="000000"/>
            </w:tcBorders>
            <w:vAlign w:val="center"/>
          </w:tcPr>
          <w:p w14:paraId="5577D3A5" w14:textId="342C0A39" w:rsidR="00B25D5C" w:rsidRPr="00A84ED7" w:rsidRDefault="00A84ED7" w:rsidP="00A84ED7">
            <w:pPr>
              <w:spacing w:after="0"/>
              <w:ind w:left="1" w:firstLine="0"/>
              <w:jc w:val="left"/>
            </w:pPr>
            <w:r w:rsidRPr="00A84ED7">
              <w:t>University of Wollongong</w:t>
            </w:r>
          </w:p>
        </w:tc>
      </w:tr>
      <w:tr w:rsidR="00A84ED7" w14:paraId="186D8708" w14:textId="77777777" w:rsidTr="00004BD3">
        <w:trPr>
          <w:trHeight w:val="1016"/>
        </w:trPr>
        <w:tc>
          <w:tcPr>
            <w:tcW w:w="254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14267BC" w14:textId="3F1BE96D" w:rsidR="00A84ED7" w:rsidRPr="00406262" w:rsidRDefault="00A84ED7" w:rsidP="00004BD3">
            <w:pPr>
              <w:spacing w:after="0"/>
              <w:ind w:left="0" w:firstLine="0"/>
              <w:jc w:val="left"/>
              <w:rPr>
                <w:b/>
                <w:bCs/>
              </w:rPr>
            </w:pPr>
            <w:r w:rsidRPr="00406262">
              <w:rPr>
                <w:b/>
                <w:bCs/>
              </w:rPr>
              <w:t xml:space="preserve">Address </w:t>
            </w:r>
          </w:p>
        </w:tc>
        <w:tc>
          <w:tcPr>
            <w:tcW w:w="6465" w:type="dxa"/>
            <w:tcBorders>
              <w:top w:val="single" w:sz="4" w:space="0" w:color="000000"/>
              <w:left w:val="single" w:sz="4" w:space="0" w:color="000000"/>
              <w:bottom w:val="single" w:sz="4" w:space="0" w:color="000000"/>
              <w:right w:val="single" w:sz="4" w:space="0" w:color="000000"/>
            </w:tcBorders>
            <w:vAlign w:val="center"/>
          </w:tcPr>
          <w:p w14:paraId="327BF590" w14:textId="77777777" w:rsidR="00A84ED7" w:rsidRPr="00A84ED7" w:rsidRDefault="00A84ED7" w:rsidP="00A84ED7">
            <w:pPr>
              <w:spacing w:after="0"/>
              <w:ind w:left="1" w:firstLine="0"/>
              <w:jc w:val="left"/>
            </w:pPr>
            <w:r w:rsidRPr="00A84ED7">
              <w:t>(ABN 61 060 567 686), of Northfields Avenue,</w:t>
            </w:r>
          </w:p>
          <w:p w14:paraId="5B925902" w14:textId="5888559A" w:rsidR="00A84ED7" w:rsidRPr="00A84ED7" w:rsidRDefault="00A84ED7" w:rsidP="00A84ED7">
            <w:pPr>
              <w:spacing w:after="0"/>
              <w:ind w:left="1" w:firstLine="0"/>
              <w:jc w:val="left"/>
            </w:pPr>
            <w:r w:rsidRPr="00A84ED7">
              <w:t>University of Wollongong, NSW 2522, Australia.</w:t>
            </w:r>
          </w:p>
        </w:tc>
      </w:tr>
      <w:tr w:rsidR="00B25D5C" w14:paraId="46D77ADE" w14:textId="77777777" w:rsidTr="00004BD3">
        <w:trPr>
          <w:trHeight w:val="3033"/>
        </w:trPr>
        <w:tc>
          <w:tcPr>
            <w:tcW w:w="254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BD7CCD0" w14:textId="77777777" w:rsidR="00B25D5C" w:rsidRPr="00406262" w:rsidRDefault="00B25D5C" w:rsidP="00004BD3">
            <w:pPr>
              <w:spacing w:after="0"/>
              <w:ind w:left="0" w:firstLine="0"/>
              <w:jc w:val="left"/>
              <w:rPr>
                <w:b/>
                <w:bCs/>
              </w:rPr>
            </w:pPr>
            <w:r w:rsidRPr="00406262">
              <w:rPr>
                <w:b/>
                <w:bCs/>
              </w:rPr>
              <w:t xml:space="preserve">Key contacts </w:t>
            </w:r>
          </w:p>
        </w:tc>
        <w:tc>
          <w:tcPr>
            <w:tcW w:w="6465" w:type="dxa"/>
            <w:tcBorders>
              <w:top w:val="single" w:sz="4" w:space="0" w:color="000000"/>
              <w:left w:val="single" w:sz="4" w:space="0" w:color="000000"/>
              <w:bottom w:val="single" w:sz="4" w:space="0" w:color="000000"/>
              <w:right w:val="single" w:sz="4" w:space="0" w:color="000000"/>
            </w:tcBorders>
            <w:vAlign w:val="center"/>
          </w:tcPr>
          <w:p w14:paraId="00676F9C" w14:textId="77777777" w:rsidR="00A84ED7" w:rsidRPr="00A84ED7" w:rsidRDefault="00A84ED7" w:rsidP="00A84ED7">
            <w:pPr>
              <w:spacing w:after="0"/>
              <w:ind w:left="1" w:firstLine="0"/>
            </w:pPr>
            <w:r w:rsidRPr="00A84ED7">
              <w:t xml:space="preserve">Name: Gabriela </w:t>
            </w:r>
            <w:proofErr w:type="spellStart"/>
            <w:r w:rsidRPr="00A84ED7">
              <w:t>lleemskerk</w:t>
            </w:r>
            <w:proofErr w:type="spellEnd"/>
          </w:p>
          <w:p w14:paraId="1B3159A0" w14:textId="269E0EE5" w:rsidR="00A84ED7" w:rsidRPr="00A84ED7" w:rsidRDefault="00A84ED7" w:rsidP="00A84ED7">
            <w:pPr>
              <w:spacing w:after="0"/>
              <w:ind w:left="1" w:firstLine="0"/>
            </w:pPr>
            <w:r w:rsidRPr="00A84ED7">
              <w:t>Postal Address: International Partnership Officer,</w:t>
            </w:r>
          </w:p>
          <w:p w14:paraId="4F4815D2" w14:textId="77777777" w:rsidR="00A84ED7" w:rsidRPr="00A84ED7" w:rsidRDefault="00A84ED7" w:rsidP="00A84ED7">
            <w:pPr>
              <w:spacing w:after="0"/>
              <w:ind w:left="1" w:firstLine="0"/>
            </w:pPr>
          </w:p>
          <w:p w14:paraId="31E549F3" w14:textId="74648B11" w:rsidR="00A84ED7" w:rsidRPr="00A84ED7" w:rsidRDefault="00A84ED7" w:rsidP="00A84ED7">
            <w:pPr>
              <w:spacing w:after="0"/>
              <w:ind w:left="1" w:firstLine="0"/>
            </w:pPr>
            <w:r w:rsidRPr="00A84ED7">
              <w:t>Global Strategy Division, International Engagements &amp; Coordination Building 39B Level 1, University of Wollongong NSW 2522</w:t>
            </w:r>
          </w:p>
          <w:p w14:paraId="37F18A73" w14:textId="77777777" w:rsidR="00A84ED7" w:rsidRPr="00A84ED7" w:rsidRDefault="00A84ED7" w:rsidP="00A84ED7">
            <w:pPr>
              <w:spacing w:after="0"/>
              <w:ind w:left="0" w:firstLine="0"/>
            </w:pPr>
            <w:r w:rsidRPr="00A84ED7">
              <w:t>Email: international-cta@uow.edu.au</w:t>
            </w:r>
          </w:p>
          <w:p w14:paraId="5FD343A8" w14:textId="48592E06" w:rsidR="00B25D5C" w:rsidRPr="00A84ED7" w:rsidRDefault="00A84ED7" w:rsidP="00A84ED7">
            <w:pPr>
              <w:spacing w:after="0"/>
              <w:ind w:left="1" w:firstLine="0"/>
            </w:pPr>
            <w:r w:rsidRPr="00A84ED7">
              <w:t>Phone: +61 24239 4801</w:t>
            </w:r>
          </w:p>
        </w:tc>
      </w:tr>
      <w:tr w:rsidR="00A84ED7" w14:paraId="0F8B1712" w14:textId="77777777" w:rsidTr="00A84ED7">
        <w:trPr>
          <w:trHeight w:val="1007"/>
        </w:trPr>
        <w:tc>
          <w:tcPr>
            <w:tcW w:w="254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0251278" w14:textId="20DC8D29" w:rsidR="00A84ED7" w:rsidRPr="00406262" w:rsidRDefault="00A84ED7" w:rsidP="00004BD3">
            <w:pPr>
              <w:spacing w:after="0"/>
              <w:ind w:left="0" w:firstLine="0"/>
              <w:jc w:val="left"/>
              <w:rPr>
                <w:b/>
                <w:bCs/>
              </w:rPr>
            </w:pPr>
            <w:r w:rsidRPr="00406262">
              <w:rPr>
                <w:b/>
                <w:bCs/>
              </w:rPr>
              <w:t xml:space="preserve">Term of Agreement </w:t>
            </w:r>
          </w:p>
        </w:tc>
        <w:tc>
          <w:tcPr>
            <w:tcW w:w="6465" w:type="dxa"/>
            <w:tcBorders>
              <w:top w:val="single" w:sz="4" w:space="0" w:color="000000"/>
              <w:left w:val="single" w:sz="4" w:space="0" w:color="000000"/>
              <w:bottom w:val="single" w:sz="4" w:space="0" w:color="000000"/>
              <w:right w:val="single" w:sz="4" w:space="0" w:color="000000"/>
            </w:tcBorders>
            <w:vAlign w:val="center"/>
          </w:tcPr>
          <w:p w14:paraId="5F1D0668" w14:textId="77777777" w:rsidR="00A84ED7" w:rsidRPr="00A84ED7" w:rsidRDefault="00A84ED7" w:rsidP="00004BD3">
            <w:pPr>
              <w:spacing w:after="19"/>
              <w:ind w:left="1" w:firstLine="0"/>
              <w:jc w:val="left"/>
              <w:rPr>
                <w:rFonts w:eastAsia="Arial"/>
                <w:b/>
              </w:rPr>
            </w:pPr>
            <w:r w:rsidRPr="00A84ED7">
              <w:rPr>
                <w:rFonts w:eastAsia="Arial"/>
                <w:b/>
              </w:rPr>
              <w:t>Date of commencement: 28-06-2024</w:t>
            </w:r>
          </w:p>
          <w:p w14:paraId="385A5030" w14:textId="77777777" w:rsidR="00A84ED7" w:rsidRPr="00A84ED7" w:rsidRDefault="00A84ED7" w:rsidP="00004BD3">
            <w:pPr>
              <w:spacing w:after="19"/>
              <w:ind w:left="1" w:firstLine="0"/>
              <w:jc w:val="left"/>
              <w:rPr>
                <w:rFonts w:eastAsia="Arial"/>
                <w:b/>
              </w:rPr>
            </w:pPr>
            <w:r w:rsidRPr="00A84ED7">
              <w:rPr>
                <w:rFonts w:eastAsia="Arial"/>
                <w:b/>
              </w:rPr>
              <w:t>End of tenure: 28-06-2027</w:t>
            </w:r>
          </w:p>
          <w:p w14:paraId="49424CDA" w14:textId="54E72557" w:rsidR="00A84ED7" w:rsidRPr="00A84ED7" w:rsidRDefault="00A84ED7" w:rsidP="00004BD3">
            <w:pPr>
              <w:spacing w:after="19"/>
              <w:ind w:left="1" w:firstLine="0"/>
              <w:jc w:val="left"/>
              <w:rPr>
                <w:rFonts w:eastAsia="Arial"/>
                <w:b/>
              </w:rPr>
            </w:pPr>
          </w:p>
        </w:tc>
      </w:tr>
    </w:tbl>
    <w:p w14:paraId="46E32CB0" w14:textId="53918205" w:rsidR="00B25D5C" w:rsidRDefault="00B25D5C" w:rsidP="00B25D5C">
      <w:pPr>
        <w:spacing w:after="0"/>
        <w:ind w:left="85" w:firstLine="0"/>
        <w:jc w:val="center"/>
      </w:pPr>
      <w:r>
        <w:rPr>
          <w:rFonts w:ascii="Calibri" w:eastAsia="Calibri" w:hAnsi="Calibri" w:cs="Calibri"/>
          <w:sz w:val="22"/>
        </w:rPr>
        <w:t xml:space="preserve">                                                                                           </w:t>
      </w:r>
      <w:r>
        <w:rPr>
          <w:rFonts w:ascii="Arial" w:eastAsia="Arial" w:hAnsi="Arial" w:cs="Arial"/>
          <w:b/>
          <w:sz w:val="32"/>
        </w:rPr>
        <w:t xml:space="preserve"> </w:t>
      </w:r>
    </w:p>
    <w:p w14:paraId="4F3D2E96" w14:textId="1A7E397B" w:rsidR="00A84ED7" w:rsidRPr="00406262" w:rsidRDefault="00406262" w:rsidP="00406262">
      <w:pPr>
        <w:spacing w:after="0"/>
        <w:ind w:left="0" w:right="2485" w:firstLine="0"/>
        <w:rPr>
          <w:sz w:val="32"/>
          <w:szCs w:val="32"/>
        </w:rPr>
      </w:pPr>
      <w:r>
        <w:rPr>
          <w:rFonts w:ascii="Arial" w:eastAsia="Arial" w:hAnsi="Arial" w:cs="Arial"/>
          <w:b/>
          <w:sz w:val="32"/>
        </w:rPr>
        <w:t xml:space="preserve">                  </w:t>
      </w:r>
      <w:r w:rsidR="00B25D5C">
        <w:rPr>
          <w:rFonts w:ascii="Arial" w:eastAsia="Arial" w:hAnsi="Arial" w:cs="Arial"/>
          <w:b/>
          <w:sz w:val="32"/>
        </w:rPr>
        <w:t xml:space="preserve"> </w:t>
      </w:r>
      <w:r w:rsidR="00A84ED7" w:rsidRPr="00406262">
        <w:rPr>
          <w:rFonts w:eastAsia="Arial"/>
          <w:b/>
          <w:sz w:val="32"/>
          <w:szCs w:val="32"/>
        </w:rPr>
        <w:t xml:space="preserve">APPLICATION REQUIREMENT </w:t>
      </w:r>
    </w:p>
    <w:p w14:paraId="79311857" w14:textId="77777777" w:rsidR="00A84ED7" w:rsidRDefault="00A84ED7" w:rsidP="00A84ED7">
      <w:pPr>
        <w:spacing w:after="0"/>
        <w:ind w:left="0" w:firstLine="0"/>
        <w:jc w:val="left"/>
      </w:pPr>
      <w:r>
        <w:rPr>
          <w:sz w:val="20"/>
        </w:rPr>
        <w:t xml:space="preserve"> </w:t>
      </w:r>
    </w:p>
    <w:tbl>
      <w:tblPr>
        <w:tblStyle w:val="TableGrid"/>
        <w:tblW w:w="9010" w:type="dxa"/>
        <w:tblInd w:w="9" w:type="dxa"/>
        <w:tblCellMar>
          <w:top w:w="99" w:type="dxa"/>
          <w:left w:w="108" w:type="dxa"/>
          <w:right w:w="82" w:type="dxa"/>
        </w:tblCellMar>
        <w:tblLook w:val="04A0" w:firstRow="1" w:lastRow="0" w:firstColumn="1" w:lastColumn="0" w:noHBand="0" w:noVBand="1"/>
      </w:tblPr>
      <w:tblGrid>
        <w:gridCol w:w="2545"/>
        <w:gridCol w:w="6465"/>
      </w:tblGrid>
      <w:tr w:rsidR="00A84ED7" w14:paraId="66409F13" w14:textId="77777777" w:rsidTr="002B1B84">
        <w:trPr>
          <w:trHeight w:val="1556"/>
        </w:trPr>
        <w:tc>
          <w:tcPr>
            <w:tcW w:w="254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B7FB85D" w14:textId="22CC545D" w:rsidR="00A84ED7" w:rsidRPr="00406262" w:rsidRDefault="002B1B84" w:rsidP="00004BD3">
            <w:pPr>
              <w:spacing w:after="0"/>
              <w:ind w:left="0" w:firstLine="0"/>
              <w:jc w:val="left"/>
              <w:rPr>
                <w:b/>
                <w:bCs/>
              </w:rPr>
            </w:pPr>
            <w:r w:rsidRPr="00406262">
              <w:rPr>
                <w:b/>
                <w:bCs/>
              </w:rPr>
              <w:t xml:space="preserve">Eligibility Criteria </w:t>
            </w:r>
          </w:p>
        </w:tc>
        <w:tc>
          <w:tcPr>
            <w:tcW w:w="6465" w:type="dxa"/>
            <w:tcBorders>
              <w:top w:val="single" w:sz="4" w:space="0" w:color="000000"/>
              <w:left w:val="single" w:sz="4" w:space="0" w:color="000000"/>
              <w:bottom w:val="single" w:sz="4" w:space="0" w:color="000000"/>
              <w:right w:val="single" w:sz="4" w:space="0" w:color="000000"/>
            </w:tcBorders>
          </w:tcPr>
          <w:p w14:paraId="72323DEC" w14:textId="0C7E78C7" w:rsidR="002B1B84" w:rsidRDefault="00A84ED7" w:rsidP="002B1B84">
            <w:pPr>
              <w:spacing w:after="96"/>
              <w:ind w:right="5"/>
            </w:pPr>
            <w:r>
              <w:t>1.</w:t>
            </w:r>
            <w:r w:rsidR="002B1B84">
              <w:t xml:space="preserve"> </w:t>
            </w:r>
            <w:r>
              <w:t xml:space="preserve">Completion of at least one year of study at </w:t>
            </w:r>
            <w:r w:rsidR="002B1B84">
              <w:t xml:space="preserve">the department of EEE, Green University of Bangladesh. </w:t>
            </w:r>
          </w:p>
          <w:p w14:paraId="02648B4C" w14:textId="4A6A7C60" w:rsidR="00A84ED7" w:rsidRDefault="00A84ED7" w:rsidP="002B1B84">
            <w:pPr>
              <w:spacing w:after="96"/>
              <w:ind w:right="5"/>
            </w:pPr>
            <w:r>
              <w:t>2. This program is specifically tailored for the students of EEE department who have completed at least 96 courses at GUB</w:t>
            </w:r>
          </w:p>
        </w:tc>
      </w:tr>
      <w:tr w:rsidR="00A84ED7" w14:paraId="160B6AA9" w14:textId="77777777" w:rsidTr="00004BD3">
        <w:trPr>
          <w:trHeight w:val="520"/>
        </w:trPr>
        <w:tc>
          <w:tcPr>
            <w:tcW w:w="254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8238C25" w14:textId="77777777" w:rsidR="00A84ED7" w:rsidRPr="00406262" w:rsidRDefault="00A84ED7" w:rsidP="00004BD3">
            <w:pPr>
              <w:spacing w:after="0"/>
              <w:ind w:left="0" w:firstLine="0"/>
              <w:jc w:val="left"/>
              <w:rPr>
                <w:b/>
                <w:bCs/>
              </w:rPr>
            </w:pPr>
            <w:r w:rsidRPr="00406262">
              <w:rPr>
                <w:b/>
                <w:bCs/>
              </w:rPr>
              <w:lastRenderedPageBreak/>
              <w:t xml:space="preserve">CGPA score </w:t>
            </w:r>
          </w:p>
        </w:tc>
        <w:tc>
          <w:tcPr>
            <w:tcW w:w="6465" w:type="dxa"/>
            <w:tcBorders>
              <w:top w:val="single" w:sz="4" w:space="0" w:color="000000"/>
              <w:left w:val="single" w:sz="4" w:space="0" w:color="000000"/>
              <w:bottom w:val="single" w:sz="4" w:space="0" w:color="000000"/>
              <w:right w:val="single" w:sz="4" w:space="0" w:color="000000"/>
            </w:tcBorders>
            <w:vAlign w:val="center"/>
          </w:tcPr>
          <w:p w14:paraId="66C45C07" w14:textId="325A35E1" w:rsidR="00A84ED7" w:rsidRDefault="00A84ED7" w:rsidP="00004BD3">
            <w:pPr>
              <w:spacing w:after="0"/>
              <w:ind w:left="1" w:firstLine="0"/>
              <w:jc w:val="left"/>
            </w:pPr>
            <w:r>
              <w:t xml:space="preserve">Minimum 2.7 / 4.0 </w:t>
            </w:r>
          </w:p>
        </w:tc>
      </w:tr>
      <w:tr w:rsidR="00A84ED7" w14:paraId="3E889243" w14:textId="77777777" w:rsidTr="00406262">
        <w:trPr>
          <w:trHeight w:val="71"/>
        </w:trPr>
        <w:tc>
          <w:tcPr>
            <w:tcW w:w="254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F07A15F" w14:textId="3FB3DBAA" w:rsidR="00A84ED7" w:rsidRPr="00406262" w:rsidRDefault="00A84ED7" w:rsidP="00004BD3">
            <w:pPr>
              <w:spacing w:after="0"/>
              <w:ind w:left="0" w:firstLine="0"/>
              <w:jc w:val="left"/>
              <w:rPr>
                <w:b/>
                <w:bCs/>
              </w:rPr>
            </w:pPr>
            <w:r w:rsidRPr="00406262">
              <w:rPr>
                <w:b/>
                <w:bCs/>
              </w:rPr>
              <w:t xml:space="preserve">English Language Proficiency Score </w:t>
            </w:r>
          </w:p>
        </w:tc>
        <w:tc>
          <w:tcPr>
            <w:tcW w:w="6465" w:type="dxa"/>
            <w:tcBorders>
              <w:top w:val="single" w:sz="4" w:space="0" w:color="000000"/>
              <w:left w:val="single" w:sz="4" w:space="0" w:color="000000"/>
              <w:bottom w:val="single" w:sz="4" w:space="0" w:color="000000"/>
              <w:right w:val="single" w:sz="4" w:space="0" w:color="000000"/>
            </w:tcBorders>
            <w:vAlign w:val="center"/>
          </w:tcPr>
          <w:p w14:paraId="6E664258" w14:textId="77777777" w:rsidR="00A84ED7" w:rsidRDefault="00A84ED7" w:rsidP="00A84ED7">
            <w:pPr>
              <w:ind w:left="10" w:right="5"/>
            </w:pPr>
            <w:r>
              <w:t xml:space="preserve">All applicants must meet the following criteria for semester programs. All non-English speaking students are required to provide evidence of satisfying the University's English language requirements.  </w:t>
            </w:r>
          </w:p>
          <w:p w14:paraId="640C1F3B" w14:textId="77777777" w:rsidR="00A84ED7" w:rsidRDefault="00A84ED7" w:rsidP="00A84ED7">
            <w:pPr>
              <w:spacing w:after="205" w:line="259" w:lineRule="auto"/>
              <w:ind w:left="-5"/>
              <w:jc w:val="left"/>
            </w:pPr>
            <w:r>
              <w:rPr>
                <w:b/>
              </w:rPr>
              <w:t xml:space="preserve">IELTS Requirement: </w:t>
            </w:r>
          </w:p>
          <w:p w14:paraId="4016FE9D" w14:textId="77777777" w:rsidR="00A84ED7" w:rsidRDefault="00A84ED7" w:rsidP="00A84ED7">
            <w:pPr>
              <w:numPr>
                <w:ilvl w:val="0"/>
                <w:numId w:val="3"/>
              </w:numPr>
              <w:ind w:right="5" w:hanging="360"/>
            </w:pPr>
            <w:r>
              <w:t xml:space="preserve">Academic overall 6.0, and </w:t>
            </w:r>
          </w:p>
          <w:p w14:paraId="4D32A141" w14:textId="77777777" w:rsidR="00A84ED7" w:rsidRDefault="00A84ED7" w:rsidP="00A84ED7">
            <w:pPr>
              <w:numPr>
                <w:ilvl w:val="0"/>
                <w:numId w:val="3"/>
              </w:numPr>
              <w:ind w:right="5" w:hanging="360"/>
            </w:pPr>
            <w:r>
              <w:t xml:space="preserve">6.0 in reading &amp; writing. </w:t>
            </w:r>
          </w:p>
          <w:p w14:paraId="2A611ABF" w14:textId="77777777" w:rsidR="00A84ED7" w:rsidRDefault="00A84ED7" w:rsidP="00A84ED7">
            <w:pPr>
              <w:spacing w:after="205" w:line="259" w:lineRule="auto"/>
              <w:ind w:left="-5"/>
              <w:jc w:val="left"/>
            </w:pPr>
            <w:r>
              <w:rPr>
                <w:b/>
              </w:rPr>
              <w:t xml:space="preserve">TOEFL Requirement: </w:t>
            </w:r>
          </w:p>
          <w:p w14:paraId="6A4BECF2" w14:textId="77777777" w:rsidR="00A84ED7" w:rsidRDefault="00A84ED7" w:rsidP="00A84ED7">
            <w:pPr>
              <w:numPr>
                <w:ilvl w:val="0"/>
                <w:numId w:val="3"/>
              </w:numPr>
              <w:ind w:right="5" w:hanging="360"/>
            </w:pPr>
            <w:r>
              <w:t xml:space="preserve">550 </w:t>
            </w:r>
            <w:proofErr w:type="gramStart"/>
            <w:r>
              <w:t>paper</w:t>
            </w:r>
            <w:proofErr w:type="gramEnd"/>
            <w:r>
              <w:t xml:space="preserve"> </w:t>
            </w:r>
          </w:p>
          <w:p w14:paraId="7DCDFEC4" w14:textId="77777777" w:rsidR="00A84ED7" w:rsidRDefault="00A84ED7" w:rsidP="00A84ED7">
            <w:pPr>
              <w:numPr>
                <w:ilvl w:val="0"/>
                <w:numId w:val="3"/>
              </w:numPr>
              <w:ind w:right="5" w:hanging="360"/>
            </w:pPr>
            <w:r>
              <w:t xml:space="preserve">213 </w:t>
            </w:r>
            <w:proofErr w:type="gramStart"/>
            <w:r>
              <w:t>computer</w:t>
            </w:r>
            <w:proofErr w:type="gramEnd"/>
            <w:r>
              <w:t xml:space="preserve"> </w:t>
            </w:r>
          </w:p>
          <w:p w14:paraId="62B392E5" w14:textId="77777777" w:rsidR="00A84ED7" w:rsidRDefault="00A84ED7" w:rsidP="00A84ED7">
            <w:pPr>
              <w:numPr>
                <w:ilvl w:val="0"/>
                <w:numId w:val="3"/>
              </w:numPr>
              <w:spacing w:after="164"/>
              <w:ind w:right="5" w:hanging="360"/>
            </w:pPr>
            <w:r>
              <w:t xml:space="preserve">4.0 TWE/Essay Rating </w:t>
            </w:r>
          </w:p>
          <w:p w14:paraId="1E175866" w14:textId="77777777" w:rsidR="00A84ED7" w:rsidRDefault="00A84ED7" w:rsidP="00A84ED7">
            <w:pPr>
              <w:numPr>
                <w:ilvl w:val="0"/>
                <w:numId w:val="3"/>
              </w:numPr>
              <w:ind w:right="5" w:hanging="360"/>
            </w:pPr>
            <w:r>
              <w:t xml:space="preserve">79 internet-based with not less than 20 in writing, 18 in reading, 17 in listening, and 16 in speaking. </w:t>
            </w:r>
          </w:p>
          <w:p w14:paraId="00A7088A" w14:textId="023A87F0" w:rsidR="00A84ED7" w:rsidRDefault="00A84ED7" w:rsidP="00A84ED7">
            <w:pPr>
              <w:spacing w:after="149"/>
              <w:ind w:left="10" w:right="5"/>
            </w:pPr>
            <w:r>
              <w:t xml:space="preserve">The English test must have been taken within two years of </w:t>
            </w:r>
            <w:r w:rsidR="000B7E79">
              <w:t xml:space="preserve">the </w:t>
            </w:r>
            <w:r>
              <w:t xml:space="preserve">commencement of study at UOW. </w:t>
            </w:r>
          </w:p>
          <w:p w14:paraId="22FF548D" w14:textId="05593704" w:rsidR="00A84ED7" w:rsidRDefault="00A84ED7" w:rsidP="00A84ED7">
            <w:pPr>
              <w:spacing w:after="144"/>
              <w:ind w:left="10" w:right="5"/>
            </w:pPr>
            <w:r>
              <w:t>In addition to IELTS and TOEFL, UOW accepts a range of criteria</w:t>
            </w:r>
            <w:r w:rsidR="000B7E79">
              <w:t>,</w:t>
            </w:r>
            <w:r>
              <w:t xml:space="preserve"> including completion of A levels or IB in any country </w:t>
            </w:r>
          </w:p>
          <w:p w14:paraId="481DE936" w14:textId="48B7E9B3" w:rsidR="00A84ED7" w:rsidRPr="00406262" w:rsidRDefault="00A84ED7" w:rsidP="00406262">
            <w:pPr>
              <w:spacing w:after="187" w:line="267" w:lineRule="auto"/>
              <w:ind w:left="0" w:right="15" w:firstLine="0"/>
              <w:rPr>
                <w:color w:val="auto"/>
              </w:rPr>
            </w:pPr>
            <w:r w:rsidRPr="00A84ED7">
              <w:rPr>
                <w:color w:val="auto"/>
              </w:rPr>
              <w:t xml:space="preserve">Applicants who do not meet the English Language requirements for direct entry to the University may be able to undertake English language courses on campus at UOW or an approved English Language Provider. That means, if GUB students require a period of intensive English to prepare for entry, UOW College, on the University campus, can offer them a choice of English Language programs, including IELTS preparation.  </w:t>
            </w:r>
          </w:p>
        </w:tc>
      </w:tr>
    </w:tbl>
    <w:p w14:paraId="56144ACC" w14:textId="4F7CA075" w:rsidR="000B7E79" w:rsidRPr="00406262" w:rsidRDefault="00406262" w:rsidP="00406262">
      <w:pPr>
        <w:pStyle w:val="Heading1"/>
        <w:ind w:left="0" w:right="7" w:firstLine="0"/>
        <w:jc w:val="both"/>
        <w:rPr>
          <w:color w:val="4472C4"/>
          <w:sz w:val="32"/>
        </w:rPr>
      </w:pPr>
      <w:r>
        <w:rPr>
          <w:rFonts w:ascii="Times New Roman" w:hAnsi="Times New Roman" w:cs="Times New Roman"/>
          <w:sz w:val="32"/>
          <w:szCs w:val="32"/>
        </w:rPr>
        <w:t xml:space="preserve">                                     </w:t>
      </w:r>
      <w:r w:rsidR="000B7E79" w:rsidRPr="00406262">
        <w:rPr>
          <w:rFonts w:ascii="Times New Roman" w:hAnsi="Times New Roman" w:cs="Times New Roman"/>
          <w:sz w:val="32"/>
          <w:szCs w:val="32"/>
        </w:rPr>
        <w:t xml:space="preserve">APPROXIMATE EXPENSES </w:t>
      </w:r>
    </w:p>
    <w:p w14:paraId="483DBD81" w14:textId="22F26611" w:rsidR="002B1B84" w:rsidRPr="002B1B84" w:rsidRDefault="0093329E" w:rsidP="002B1B84">
      <w:r>
        <w:t xml:space="preserve"> </w:t>
      </w:r>
    </w:p>
    <w:tbl>
      <w:tblPr>
        <w:tblStyle w:val="TableGrid0"/>
        <w:tblW w:w="5329" w:type="pct"/>
        <w:tblLayout w:type="fixed"/>
        <w:tblLook w:val="04A0" w:firstRow="1" w:lastRow="0" w:firstColumn="1" w:lastColumn="0" w:noHBand="0" w:noVBand="1"/>
      </w:tblPr>
      <w:tblGrid>
        <w:gridCol w:w="2516"/>
        <w:gridCol w:w="7108"/>
      </w:tblGrid>
      <w:tr w:rsidR="002B1B84" w14:paraId="10E8E73A" w14:textId="1A8A8B61" w:rsidTr="00406262">
        <w:tc>
          <w:tcPr>
            <w:tcW w:w="1307" w:type="pct"/>
            <w:shd w:val="clear" w:color="auto" w:fill="BDD6EE" w:themeFill="accent5" w:themeFillTint="66"/>
          </w:tcPr>
          <w:p w14:paraId="1FC78121" w14:textId="7B342262" w:rsidR="002B1B84" w:rsidRPr="00406262" w:rsidRDefault="002B1B84" w:rsidP="002B1B84">
            <w:pPr>
              <w:ind w:left="0" w:firstLine="0"/>
              <w:jc w:val="left"/>
              <w:rPr>
                <w:b/>
                <w:bCs/>
              </w:rPr>
            </w:pPr>
            <w:r w:rsidRPr="00406262">
              <w:rPr>
                <w:b/>
                <w:bCs/>
              </w:rPr>
              <w:t>Visa Processing Fee</w:t>
            </w:r>
          </w:p>
        </w:tc>
        <w:tc>
          <w:tcPr>
            <w:tcW w:w="3693" w:type="pct"/>
          </w:tcPr>
          <w:p w14:paraId="43B1A3E2" w14:textId="450C80D2" w:rsidR="002B1B84" w:rsidRPr="002B1B84" w:rsidRDefault="002B1B84" w:rsidP="002B1B84">
            <w:r w:rsidRPr="002B1B84">
              <w:t xml:space="preserve">Approximately 160 US </w:t>
            </w:r>
            <w:proofErr w:type="gramStart"/>
            <w:r w:rsidRPr="002B1B84">
              <w:t>dollar .</w:t>
            </w:r>
            <w:proofErr w:type="gramEnd"/>
            <w:r w:rsidRPr="002B1B84">
              <w:t xml:space="preserve"> The visa processing fee may vary time to time as per the decision of the Australian High Commission in Bangladesh. </w:t>
            </w:r>
          </w:p>
        </w:tc>
      </w:tr>
      <w:tr w:rsidR="002B1B84" w14:paraId="0E54E96D" w14:textId="566EC9B7" w:rsidTr="00406262">
        <w:tc>
          <w:tcPr>
            <w:tcW w:w="1307" w:type="pct"/>
            <w:shd w:val="clear" w:color="auto" w:fill="BDD6EE" w:themeFill="accent5" w:themeFillTint="66"/>
          </w:tcPr>
          <w:p w14:paraId="51FB528B" w14:textId="0F1B379E" w:rsidR="002B1B84" w:rsidRPr="00406262" w:rsidRDefault="002B1B84" w:rsidP="002B1B84">
            <w:pPr>
              <w:ind w:left="0" w:firstLine="0"/>
              <w:jc w:val="left"/>
              <w:rPr>
                <w:b/>
                <w:bCs/>
              </w:rPr>
            </w:pPr>
            <w:r w:rsidRPr="00406262">
              <w:rPr>
                <w:b/>
                <w:bCs/>
              </w:rPr>
              <w:t>Admission fee</w:t>
            </w:r>
          </w:p>
        </w:tc>
        <w:tc>
          <w:tcPr>
            <w:tcW w:w="3693" w:type="pct"/>
          </w:tcPr>
          <w:p w14:paraId="319A7A5C" w14:textId="7B248B2E" w:rsidR="002B1B84" w:rsidRPr="002B1B84" w:rsidRDefault="002B1B84" w:rsidP="00406262">
            <w:pPr>
              <w:ind w:left="360" w:firstLine="0"/>
            </w:pPr>
            <w:r w:rsidRPr="002B1B84">
              <w:t xml:space="preserve"> No fee is required to apply for undergraduate-level admission. </w:t>
            </w:r>
          </w:p>
        </w:tc>
      </w:tr>
      <w:tr w:rsidR="002B1B84" w14:paraId="3E91DDDF" w14:textId="14AFB5BC" w:rsidTr="00406262">
        <w:tc>
          <w:tcPr>
            <w:tcW w:w="1307" w:type="pct"/>
            <w:shd w:val="clear" w:color="auto" w:fill="BDD6EE" w:themeFill="accent5" w:themeFillTint="66"/>
          </w:tcPr>
          <w:p w14:paraId="6A8BB171" w14:textId="5CFB0F8D" w:rsidR="002B1B84" w:rsidRPr="00406262" w:rsidRDefault="002B1B84" w:rsidP="002B1B84">
            <w:pPr>
              <w:ind w:left="0" w:firstLine="0"/>
              <w:jc w:val="left"/>
              <w:rPr>
                <w:b/>
                <w:bCs/>
              </w:rPr>
            </w:pPr>
            <w:r w:rsidRPr="00406262">
              <w:rPr>
                <w:b/>
                <w:bCs/>
              </w:rPr>
              <w:lastRenderedPageBreak/>
              <w:t xml:space="preserve">Tuition fee </w:t>
            </w:r>
            <w:proofErr w:type="gramStart"/>
            <w:r w:rsidRPr="00406262">
              <w:rPr>
                <w:b/>
                <w:bCs/>
              </w:rPr>
              <w:t>( Complete</w:t>
            </w:r>
            <w:proofErr w:type="gramEnd"/>
            <w:r w:rsidRPr="00406262">
              <w:rPr>
                <w:b/>
                <w:bCs/>
              </w:rPr>
              <w:t xml:space="preserve"> Bachelor’s Program)</w:t>
            </w:r>
          </w:p>
        </w:tc>
        <w:tc>
          <w:tcPr>
            <w:tcW w:w="3693" w:type="pct"/>
          </w:tcPr>
          <w:p w14:paraId="451ADCDF" w14:textId="489E732B" w:rsidR="002B1B84" w:rsidRPr="00406262" w:rsidRDefault="002B1B84" w:rsidP="00406262">
            <w:pPr>
              <w:ind w:left="360" w:firstLine="0"/>
            </w:pPr>
            <w:r w:rsidRPr="00406262">
              <w:t xml:space="preserve">The estimated tuition fee for bachelors is between 90000 AUD to 120000 </w:t>
            </w:r>
            <w:r w:rsidR="00406262">
              <w:t xml:space="preserve">AUD </w:t>
            </w:r>
            <w:r w:rsidR="00406262" w:rsidRPr="00406262">
              <w:t>for the complete duration of 3-4 years depending on the course</w:t>
            </w:r>
            <w:r w:rsidR="00406262">
              <w:t xml:space="preserve">. </w:t>
            </w:r>
          </w:p>
          <w:p w14:paraId="0C233AC2" w14:textId="705A87B9" w:rsidR="002B1B84" w:rsidRPr="002B1B84" w:rsidRDefault="002B1B84" w:rsidP="00406262">
            <w:r w:rsidRPr="00406262">
              <w:t>They do provide scholarships such as the UG and PG excellence scholarships offered at 30% or the country bursary of 10% for the entire duration of the course</w:t>
            </w:r>
          </w:p>
        </w:tc>
      </w:tr>
      <w:tr w:rsidR="002B1B84" w14:paraId="7265D362" w14:textId="0E7C7D88" w:rsidTr="00406262">
        <w:trPr>
          <w:trHeight w:val="2357"/>
        </w:trPr>
        <w:tc>
          <w:tcPr>
            <w:tcW w:w="1307" w:type="pct"/>
            <w:shd w:val="clear" w:color="auto" w:fill="BDD6EE" w:themeFill="accent5" w:themeFillTint="66"/>
          </w:tcPr>
          <w:p w14:paraId="0D769204" w14:textId="1ACA7418" w:rsidR="002B1B84" w:rsidRPr="00406262" w:rsidRDefault="002B1B84" w:rsidP="002B1B84">
            <w:pPr>
              <w:ind w:left="0" w:firstLine="0"/>
              <w:jc w:val="left"/>
              <w:rPr>
                <w:b/>
                <w:bCs/>
              </w:rPr>
            </w:pPr>
            <w:r w:rsidRPr="00406262">
              <w:rPr>
                <w:b/>
                <w:bCs/>
              </w:rPr>
              <w:t xml:space="preserve">Tuition fee per session </w:t>
            </w:r>
          </w:p>
          <w:p w14:paraId="70BCEAD0" w14:textId="77777777" w:rsidR="002B1B84" w:rsidRPr="00406262" w:rsidRDefault="002B1B84" w:rsidP="002B1B84">
            <w:pPr>
              <w:ind w:left="360" w:firstLine="0"/>
              <w:jc w:val="left"/>
              <w:rPr>
                <w:b/>
                <w:bCs/>
              </w:rPr>
            </w:pPr>
          </w:p>
          <w:p w14:paraId="7CF99318" w14:textId="63D48266" w:rsidR="002B1B84" w:rsidRPr="00406262" w:rsidRDefault="002B1B84" w:rsidP="002B1B84">
            <w:pPr>
              <w:ind w:left="360" w:firstLine="0"/>
              <w:jc w:val="left"/>
              <w:rPr>
                <w:b/>
                <w:bCs/>
              </w:rPr>
            </w:pPr>
          </w:p>
        </w:tc>
        <w:tc>
          <w:tcPr>
            <w:tcW w:w="3693" w:type="pct"/>
          </w:tcPr>
          <w:p w14:paraId="612B6E6F" w14:textId="6A9B8068" w:rsidR="002B1B84" w:rsidRPr="002B1B84" w:rsidRDefault="002B1B84" w:rsidP="002B1B84">
            <w:pPr>
              <w:ind w:left="360" w:firstLine="0"/>
            </w:pPr>
            <w:r w:rsidRPr="002B1B84">
              <w:t xml:space="preserve">As per the 2+2 program, GUB students will have to pay tuition fees for two sessions.  For each session, they will have to pay around 20,000AUD For a Bachelor of Engineering. The details can be found here: </w:t>
            </w:r>
          </w:p>
          <w:p w14:paraId="0D8CECD1" w14:textId="58CA3154" w:rsidR="002B1B84" w:rsidRPr="002B1B84" w:rsidRDefault="002B1B84" w:rsidP="00406262">
            <w:pPr>
              <w:ind w:left="360" w:firstLine="0"/>
            </w:pPr>
            <w:hyperlink r:id="rId7">
              <w:r w:rsidRPr="002B1B84">
                <w:rPr>
                  <w:rStyle w:val="Hyperlink"/>
                </w:rPr>
                <w:t xml:space="preserve">https://documents.uow.edu.au/content/groups/public/@web/@gov/documents/doc/uo </w:t>
              </w:r>
            </w:hyperlink>
            <w:hyperlink r:id="rId8">
              <w:r w:rsidRPr="002B1B84">
                <w:rPr>
                  <w:rStyle w:val="Hyperlink"/>
                </w:rPr>
                <w:t>w273695.pdf</w:t>
              </w:r>
            </w:hyperlink>
            <w:hyperlink r:id="rId9">
              <w:r w:rsidRPr="002B1B84">
                <w:rPr>
                  <w:rStyle w:val="Hyperlink"/>
                </w:rPr>
                <w:t>.</w:t>
              </w:r>
            </w:hyperlink>
            <w:r w:rsidRPr="002B1B84">
              <w:t xml:space="preserve"> </w:t>
            </w:r>
          </w:p>
        </w:tc>
      </w:tr>
    </w:tbl>
    <w:p w14:paraId="3872AD0B" w14:textId="77777777" w:rsidR="00406262" w:rsidRDefault="00406262" w:rsidP="00EA1F70">
      <w:pPr>
        <w:jc w:val="center"/>
        <w:rPr>
          <w:b/>
          <w:bCs/>
          <w:sz w:val="32"/>
          <w:szCs w:val="32"/>
        </w:rPr>
      </w:pPr>
    </w:p>
    <w:tbl>
      <w:tblPr>
        <w:tblStyle w:val="TableGrid0"/>
        <w:tblW w:w="9630" w:type="dxa"/>
        <w:tblInd w:w="-5" w:type="dxa"/>
        <w:tblLook w:val="04A0" w:firstRow="1" w:lastRow="0" w:firstColumn="1" w:lastColumn="0" w:noHBand="0" w:noVBand="1"/>
      </w:tblPr>
      <w:tblGrid>
        <w:gridCol w:w="2520"/>
        <w:gridCol w:w="7110"/>
      </w:tblGrid>
      <w:tr w:rsidR="00406262" w14:paraId="75B5A0D6" w14:textId="77777777" w:rsidTr="00406262">
        <w:tc>
          <w:tcPr>
            <w:tcW w:w="2520" w:type="dxa"/>
            <w:shd w:val="clear" w:color="auto" w:fill="9CC2E5" w:themeFill="accent5" w:themeFillTint="99"/>
          </w:tcPr>
          <w:p w14:paraId="01F941E9" w14:textId="77777777" w:rsidR="00406262" w:rsidRPr="00406262" w:rsidRDefault="00406262" w:rsidP="00406262">
            <w:pPr>
              <w:spacing w:after="155" w:line="269" w:lineRule="auto"/>
              <w:ind w:left="-5"/>
              <w:rPr>
                <w:b/>
              </w:rPr>
            </w:pPr>
            <w:r w:rsidRPr="00406262">
              <w:rPr>
                <w:b/>
              </w:rPr>
              <w:t xml:space="preserve">Credit Transfer Arrangement: </w:t>
            </w:r>
          </w:p>
          <w:p w14:paraId="185FF3D8" w14:textId="77777777" w:rsidR="00406262" w:rsidRPr="00406262" w:rsidRDefault="00406262" w:rsidP="00406262">
            <w:pPr>
              <w:ind w:left="0" w:firstLine="0"/>
              <w:jc w:val="center"/>
              <w:rPr>
                <w:b/>
              </w:rPr>
            </w:pPr>
          </w:p>
        </w:tc>
        <w:tc>
          <w:tcPr>
            <w:tcW w:w="7110" w:type="dxa"/>
          </w:tcPr>
          <w:p w14:paraId="52624250" w14:textId="77777777" w:rsidR="00406262" w:rsidRDefault="00406262" w:rsidP="00406262">
            <w:pPr>
              <w:numPr>
                <w:ilvl w:val="0"/>
                <w:numId w:val="2"/>
              </w:numPr>
              <w:spacing w:after="36"/>
              <w:ind w:right="5" w:hanging="360"/>
            </w:pPr>
            <w:r>
              <w:t xml:space="preserve">Individual Applicants under this credit transfer agreement must consult the Faculty of Engineering and Information Science before enrolling into any subjects to assure they meet the University’s graduation requirements.  </w:t>
            </w:r>
          </w:p>
          <w:p w14:paraId="1E96D986" w14:textId="77777777" w:rsidR="00406262" w:rsidRDefault="00406262" w:rsidP="00406262">
            <w:pPr>
              <w:numPr>
                <w:ilvl w:val="0"/>
                <w:numId w:val="2"/>
              </w:numPr>
              <w:spacing w:after="28"/>
              <w:ind w:right="5" w:hanging="360"/>
            </w:pPr>
            <w:r>
              <w:t xml:space="preserve">A further 96 of credit points </w:t>
            </w:r>
            <w:proofErr w:type="gramStart"/>
            <w:r>
              <w:t>( equivalent</w:t>
            </w:r>
            <w:proofErr w:type="gramEnd"/>
            <w:r>
              <w:t xml:space="preserve"> to 2 years of full-time </w:t>
            </w:r>
            <w:proofErr w:type="gramStart"/>
            <w:r>
              <w:t>study )</w:t>
            </w:r>
            <w:proofErr w:type="gramEnd"/>
            <w:r>
              <w:t xml:space="preserve"> will be required to be completed.   </w:t>
            </w:r>
          </w:p>
          <w:p w14:paraId="341A72DF" w14:textId="77777777" w:rsidR="00406262" w:rsidRDefault="00406262" w:rsidP="00406262">
            <w:pPr>
              <w:ind w:left="0" w:firstLine="0"/>
              <w:jc w:val="center"/>
              <w:rPr>
                <w:b/>
                <w:bCs/>
                <w:sz w:val="32"/>
                <w:szCs w:val="32"/>
              </w:rPr>
            </w:pPr>
          </w:p>
        </w:tc>
      </w:tr>
      <w:tr w:rsidR="00406262" w14:paraId="00463FD1" w14:textId="77777777" w:rsidTr="00406262">
        <w:tc>
          <w:tcPr>
            <w:tcW w:w="2520" w:type="dxa"/>
            <w:shd w:val="clear" w:color="auto" w:fill="9CC2E5" w:themeFill="accent5" w:themeFillTint="99"/>
          </w:tcPr>
          <w:p w14:paraId="67B9C418" w14:textId="77777777" w:rsidR="00406262" w:rsidRPr="00406262" w:rsidRDefault="00406262" w:rsidP="00406262">
            <w:pPr>
              <w:spacing w:after="108" w:line="269" w:lineRule="auto"/>
              <w:ind w:left="-5"/>
              <w:rPr>
                <w:b/>
              </w:rPr>
            </w:pPr>
            <w:r w:rsidRPr="00406262">
              <w:rPr>
                <w:b/>
              </w:rPr>
              <w:t xml:space="preserve">Visa Procedure: </w:t>
            </w:r>
          </w:p>
          <w:p w14:paraId="53E82B0D" w14:textId="5CA4B22C" w:rsidR="00406262" w:rsidRPr="00406262" w:rsidRDefault="00406262" w:rsidP="00406262">
            <w:pPr>
              <w:ind w:left="0" w:firstLine="0"/>
              <w:jc w:val="center"/>
              <w:rPr>
                <w:b/>
              </w:rPr>
            </w:pPr>
            <w:r w:rsidRPr="00406262">
              <w:rPr>
                <w:b/>
              </w:rPr>
              <w:t xml:space="preserve"> </w:t>
            </w:r>
          </w:p>
        </w:tc>
        <w:tc>
          <w:tcPr>
            <w:tcW w:w="7110" w:type="dxa"/>
          </w:tcPr>
          <w:p w14:paraId="76660333" w14:textId="13751460" w:rsidR="00406262" w:rsidRDefault="00406262" w:rsidP="00406262">
            <w:pPr>
              <w:spacing w:after="28"/>
              <w:ind w:left="10" w:right="5"/>
            </w:pPr>
            <w:r>
              <w:t>Here is a checklist for all the documents students need to submit, along with their online visa application</w:t>
            </w:r>
            <w:r>
              <w:t xml:space="preserve"> form:</w:t>
            </w:r>
          </w:p>
          <w:p w14:paraId="4295C3D2" w14:textId="77777777" w:rsidR="00406262" w:rsidRDefault="00406262" w:rsidP="00406262">
            <w:pPr>
              <w:numPr>
                <w:ilvl w:val="0"/>
                <w:numId w:val="4"/>
              </w:numPr>
              <w:ind w:right="5" w:hanging="360"/>
            </w:pPr>
            <w:r>
              <w:t xml:space="preserve">Completed Australian Student Visa Application form (157A) </w:t>
            </w:r>
          </w:p>
          <w:p w14:paraId="068638B8" w14:textId="77777777" w:rsidR="00406262" w:rsidRDefault="00406262" w:rsidP="00406262">
            <w:pPr>
              <w:numPr>
                <w:ilvl w:val="0"/>
                <w:numId w:val="4"/>
              </w:numPr>
              <w:spacing w:after="163"/>
              <w:ind w:right="5" w:hanging="360"/>
            </w:pPr>
            <w:r>
              <w:t xml:space="preserve">Paid Visa Application fee (currently 620 AUD approx.) </w:t>
            </w:r>
          </w:p>
          <w:p w14:paraId="663A8DC2" w14:textId="77777777" w:rsidR="00406262" w:rsidRDefault="00406262" w:rsidP="00406262">
            <w:pPr>
              <w:numPr>
                <w:ilvl w:val="0"/>
                <w:numId w:val="4"/>
              </w:numPr>
              <w:ind w:right="5" w:hanging="360"/>
            </w:pPr>
            <w:r>
              <w:t xml:space="preserve">Copy of all pages of the passport including valid, invalid, old, and current (some may need to provide their physical passports). </w:t>
            </w:r>
          </w:p>
          <w:p w14:paraId="6F5D3E0A" w14:textId="77777777" w:rsidR="00406262" w:rsidRDefault="00406262" w:rsidP="00406262">
            <w:pPr>
              <w:numPr>
                <w:ilvl w:val="0"/>
                <w:numId w:val="4"/>
              </w:numPr>
              <w:ind w:right="5" w:hanging="360"/>
            </w:pPr>
            <w:r>
              <w:t xml:space="preserve">Offer Letter from the University </w:t>
            </w:r>
          </w:p>
          <w:p w14:paraId="6721FB6B" w14:textId="77777777" w:rsidR="00406262" w:rsidRDefault="00406262" w:rsidP="00406262">
            <w:pPr>
              <w:numPr>
                <w:ilvl w:val="0"/>
                <w:numId w:val="4"/>
              </w:numPr>
              <w:ind w:right="5" w:hanging="360"/>
            </w:pPr>
            <w:r>
              <w:t xml:space="preserve">Proof of sufficient funds </w:t>
            </w:r>
          </w:p>
          <w:p w14:paraId="1DB72665" w14:textId="77777777" w:rsidR="00406262" w:rsidRDefault="00406262" w:rsidP="00406262">
            <w:pPr>
              <w:numPr>
                <w:ilvl w:val="0"/>
                <w:numId w:val="4"/>
              </w:numPr>
              <w:ind w:right="5" w:hanging="360"/>
            </w:pPr>
            <w:r>
              <w:t xml:space="preserve">Proof of healthcare coverage (OSHC) </w:t>
            </w:r>
          </w:p>
          <w:p w14:paraId="1648A119" w14:textId="77777777" w:rsidR="00406262" w:rsidRDefault="00406262" w:rsidP="00406262">
            <w:pPr>
              <w:numPr>
                <w:ilvl w:val="0"/>
                <w:numId w:val="4"/>
              </w:numPr>
              <w:ind w:right="5" w:hanging="360"/>
            </w:pPr>
            <w:r>
              <w:t xml:space="preserve">Test results of English proficiency </w:t>
            </w:r>
          </w:p>
          <w:p w14:paraId="0CC86E90" w14:textId="55D409BF" w:rsidR="00406262" w:rsidRPr="00406262" w:rsidRDefault="00406262" w:rsidP="00406262">
            <w:pPr>
              <w:numPr>
                <w:ilvl w:val="0"/>
                <w:numId w:val="4"/>
              </w:numPr>
              <w:spacing w:after="150"/>
              <w:ind w:right="5" w:hanging="360"/>
            </w:pPr>
            <w:r>
              <w:t xml:space="preserve">Results of criminal record check  </w:t>
            </w:r>
          </w:p>
        </w:tc>
      </w:tr>
    </w:tbl>
    <w:p w14:paraId="79BC7CA9" w14:textId="77777777" w:rsidR="00406262" w:rsidRDefault="00406262" w:rsidP="00EA1F70">
      <w:pPr>
        <w:jc w:val="center"/>
        <w:rPr>
          <w:b/>
          <w:bCs/>
          <w:sz w:val="32"/>
          <w:szCs w:val="32"/>
        </w:rPr>
      </w:pPr>
    </w:p>
    <w:p w14:paraId="49A9414C" w14:textId="77777777" w:rsidR="00406262" w:rsidRDefault="00406262" w:rsidP="00EA1F70">
      <w:pPr>
        <w:jc w:val="center"/>
        <w:rPr>
          <w:b/>
          <w:bCs/>
          <w:sz w:val="32"/>
          <w:szCs w:val="32"/>
        </w:rPr>
      </w:pPr>
    </w:p>
    <w:p w14:paraId="0230D626" w14:textId="4286D514" w:rsidR="000B7E79" w:rsidRPr="00406262" w:rsidRDefault="00406262" w:rsidP="00EA1F70">
      <w:pPr>
        <w:jc w:val="center"/>
        <w:rPr>
          <w:b/>
          <w:bCs/>
          <w:sz w:val="32"/>
          <w:szCs w:val="32"/>
        </w:rPr>
      </w:pPr>
      <w:r w:rsidRPr="00406262">
        <w:rPr>
          <w:b/>
          <w:bCs/>
          <w:sz w:val="32"/>
          <w:szCs w:val="32"/>
        </w:rPr>
        <w:lastRenderedPageBreak/>
        <w:t xml:space="preserve">COURSE </w:t>
      </w:r>
      <w:r>
        <w:rPr>
          <w:b/>
          <w:bCs/>
          <w:sz w:val="32"/>
          <w:szCs w:val="32"/>
        </w:rPr>
        <w:t>EQUIVALENCE</w:t>
      </w:r>
      <w:r w:rsidRPr="00406262">
        <w:rPr>
          <w:b/>
          <w:bCs/>
          <w:sz w:val="32"/>
          <w:szCs w:val="32"/>
        </w:rPr>
        <w:t xml:space="preserve"> TABLE</w:t>
      </w:r>
    </w:p>
    <w:p w14:paraId="1D3BC193" w14:textId="77777777" w:rsidR="00462F23" w:rsidRDefault="00000000">
      <w:pPr>
        <w:spacing w:after="173"/>
        <w:ind w:left="10" w:right="5"/>
      </w:pPr>
      <w:r>
        <w:t xml:space="preserve">Applicants from Green University will have to complete the following courses from </w:t>
      </w:r>
      <w:proofErr w:type="gramStart"/>
      <w:r>
        <w:t>GUB :</w:t>
      </w:r>
      <w:proofErr w:type="gramEnd"/>
      <w:r>
        <w:t xml:space="preserve"> </w:t>
      </w:r>
    </w:p>
    <w:p w14:paraId="187DF0D5" w14:textId="77777777" w:rsidR="00462F23" w:rsidRDefault="00000000">
      <w:pPr>
        <w:spacing w:after="0" w:line="259" w:lineRule="auto"/>
        <w:ind w:left="720" w:firstLine="0"/>
        <w:jc w:val="left"/>
      </w:pPr>
      <w:r>
        <w:t xml:space="preserve">  </w:t>
      </w:r>
    </w:p>
    <w:tbl>
      <w:tblPr>
        <w:tblStyle w:val="TableGrid"/>
        <w:tblW w:w="7826" w:type="dxa"/>
        <w:tblInd w:w="725" w:type="dxa"/>
        <w:tblCellMar>
          <w:top w:w="46" w:type="dxa"/>
          <w:left w:w="108" w:type="dxa"/>
        </w:tblCellMar>
        <w:tblLook w:val="04A0" w:firstRow="1" w:lastRow="0" w:firstColumn="1" w:lastColumn="0" w:noHBand="0" w:noVBand="1"/>
      </w:tblPr>
      <w:tblGrid>
        <w:gridCol w:w="2057"/>
        <w:gridCol w:w="4386"/>
        <w:gridCol w:w="1383"/>
      </w:tblGrid>
      <w:tr w:rsidR="00462F23" w14:paraId="64C53A43" w14:textId="77777777" w:rsidTr="00406262">
        <w:trPr>
          <w:trHeight w:val="286"/>
        </w:trPr>
        <w:tc>
          <w:tcPr>
            <w:tcW w:w="2057" w:type="dxa"/>
            <w:tcBorders>
              <w:top w:val="single" w:sz="4" w:space="0" w:color="000000"/>
              <w:left w:val="single" w:sz="4" w:space="0" w:color="000000"/>
              <w:bottom w:val="single" w:sz="4" w:space="0" w:color="000000"/>
              <w:right w:val="single" w:sz="4" w:space="0" w:color="000000"/>
            </w:tcBorders>
          </w:tcPr>
          <w:p w14:paraId="328CD959" w14:textId="77777777" w:rsidR="00462F23" w:rsidRDefault="00000000">
            <w:pPr>
              <w:spacing w:after="0" w:line="259" w:lineRule="auto"/>
              <w:ind w:left="0" w:firstLine="0"/>
              <w:jc w:val="left"/>
            </w:pPr>
            <w:r>
              <w:t xml:space="preserve">Institute Unit Code </w:t>
            </w:r>
          </w:p>
        </w:tc>
        <w:tc>
          <w:tcPr>
            <w:tcW w:w="4386" w:type="dxa"/>
            <w:tcBorders>
              <w:top w:val="single" w:sz="4" w:space="0" w:color="000000"/>
              <w:left w:val="single" w:sz="4" w:space="0" w:color="000000"/>
              <w:bottom w:val="single" w:sz="4" w:space="0" w:color="000000"/>
              <w:right w:val="single" w:sz="4" w:space="0" w:color="000000"/>
            </w:tcBorders>
          </w:tcPr>
          <w:p w14:paraId="607AE720" w14:textId="77777777" w:rsidR="00462F23" w:rsidRDefault="00000000">
            <w:pPr>
              <w:spacing w:after="0" w:line="259" w:lineRule="auto"/>
              <w:ind w:left="0" w:firstLine="0"/>
              <w:jc w:val="left"/>
            </w:pPr>
            <w:r>
              <w:t xml:space="preserve">Institute Unit Name </w:t>
            </w:r>
          </w:p>
        </w:tc>
        <w:tc>
          <w:tcPr>
            <w:tcW w:w="1383" w:type="dxa"/>
            <w:tcBorders>
              <w:top w:val="single" w:sz="4" w:space="0" w:color="000000"/>
              <w:left w:val="single" w:sz="4" w:space="0" w:color="000000"/>
              <w:bottom w:val="single" w:sz="4" w:space="0" w:color="000000"/>
              <w:right w:val="single" w:sz="4" w:space="0" w:color="000000"/>
            </w:tcBorders>
          </w:tcPr>
          <w:p w14:paraId="66018E84" w14:textId="77777777" w:rsidR="00462F23" w:rsidRDefault="00000000">
            <w:pPr>
              <w:spacing w:after="0" w:line="259" w:lineRule="auto"/>
              <w:ind w:left="0" w:firstLine="0"/>
              <w:jc w:val="left"/>
            </w:pPr>
            <w:r>
              <w:t xml:space="preserve">Credit Point </w:t>
            </w:r>
          </w:p>
        </w:tc>
      </w:tr>
      <w:tr w:rsidR="00462F23" w14:paraId="006B0B5A" w14:textId="77777777" w:rsidTr="00406262">
        <w:trPr>
          <w:trHeight w:val="288"/>
        </w:trPr>
        <w:tc>
          <w:tcPr>
            <w:tcW w:w="2057" w:type="dxa"/>
            <w:tcBorders>
              <w:top w:val="single" w:sz="4" w:space="0" w:color="000000"/>
              <w:left w:val="single" w:sz="4" w:space="0" w:color="000000"/>
              <w:bottom w:val="single" w:sz="4" w:space="0" w:color="000000"/>
              <w:right w:val="single" w:sz="4" w:space="0" w:color="000000"/>
            </w:tcBorders>
          </w:tcPr>
          <w:p w14:paraId="7D591426" w14:textId="77777777" w:rsidR="00462F23" w:rsidRDefault="00000000">
            <w:pPr>
              <w:spacing w:after="0" w:line="259" w:lineRule="auto"/>
              <w:ind w:left="0" w:firstLine="0"/>
              <w:jc w:val="left"/>
            </w:pPr>
            <w:r>
              <w:t xml:space="preserve">PHY 101 </w:t>
            </w:r>
          </w:p>
        </w:tc>
        <w:tc>
          <w:tcPr>
            <w:tcW w:w="4386" w:type="dxa"/>
            <w:tcBorders>
              <w:top w:val="single" w:sz="4" w:space="0" w:color="000000"/>
              <w:left w:val="single" w:sz="4" w:space="0" w:color="000000"/>
              <w:bottom w:val="single" w:sz="4" w:space="0" w:color="000000"/>
              <w:right w:val="single" w:sz="4" w:space="0" w:color="000000"/>
            </w:tcBorders>
          </w:tcPr>
          <w:p w14:paraId="5D66E0A7" w14:textId="77777777" w:rsidR="00462F23" w:rsidRDefault="00000000">
            <w:pPr>
              <w:spacing w:after="0" w:line="259" w:lineRule="auto"/>
              <w:ind w:left="0" w:firstLine="0"/>
              <w:jc w:val="left"/>
            </w:pPr>
            <w:r>
              <w:t xml:space="preserve">Physics 1 </w:t>
            </w:r>
          </w:p>
        </w:tc>
        <w:tc>
          <w:tcPr>
            <w:tcW w:w="1383" w:type="dxa"/>
            <w:tcBorders>
              <w:top w:val="single" w:sz="4" w:space="0" w:color="000000"/>
              <w:left w:val="single" w:sz="4" w:space="0" w:color="000000"/>
              <w:bottom w:val="single" w:sz="4" w:space="0" w:color="000000"/>
              <w:right w:val="single" w:sz="4" w:space="0" w:color="000000"/>
            </w:tcBorders>
          </w:tcPr>
          <w:p w14:paraId="4EC54168" w14:textId="77777777" w:rsidR="00462F23" w:rsidRDefault="00000000">
            <w:pPr>
              <w:spacing w:after="0" w:line="259" w:lineRule="auto"/>
              <w:ind w:left="0" w:firstLine="0"/>
              <w:jc w:val="left"/>
            </w:pPr>
            <w:r>
              <w:t xml:space="preserve">6 </w:t>
            </w:r>
          </w:p>
        </w:tc>
      </w:tr>
      <w:tr w:rsidR="00462F23" w14:paraId="6638846B" w14:textId="77777777" w:rsidTr="00406262">
        <w:trPr>
          <w:trHeight w:val="286"/>
        </w:trPr>
        <w:tc>
          <w:tcPr>
            <w:tcW w:w="2057" w:type="dxa"/>
            <w:tcBorders>
              <w:top w:val="single" w:sz="4" w:space="0" w:color="000000"/>
              <w:left w:val="single" w:sz="4" w:space="0" w:color="000000"/>
              <w:bottom w:val="single" w:sz="4" w:space="0" w:color="000000"/>
              <w:right w:val="single" w:sz="4" w:space="0" w:color="000000"/>
            </w:tcBorders>
          </w:tcPr>
          <w:p w14:paraId="259F23A2" w14:textId="77777777" w:rsidR="00462F23" w:rsidRDefault="00000000">
            <w:pPr>
              <w:spacing w:after="0" w:line="259" w:lineRule="auto"/>
              <w:ind w:left="0" w:firstLine="0"/>
              <w:jc w:val="left"/>
            </w:pPr>
            <w:r>
              <w:t xml:space="preserve">PHY 103 </w:t>
            </w:r>
          </w:p>
        </w:tc>
        <w:tc>
          <w:tcPr>
            <w:tcW w:w="4386" w:type="dxa"/>
            <w:tcBorders>
              <w:top w:val="single" w:sz="4" w:space="0" w:color="000000"/>
              <w:left w:val="single" w:sz="4" w:space="0" w:color="000000"/>
              <w:bottom w:val="single" w:sz="4" w:space="0" w:color="000000"/>
              <w:right w:val="single" w:sz="4" w:space="0" w:color="000000"/>
            </w:tcBorders>
          </w:tcPr>
          <w:p w14:paraId="6526D092" w14:textId="77777777" w:rsidR="00462F23" w:rsidRDefault="00000000">
            <w:pPr>
              <w:spacing w:after="0" w:line="259" w:lineRule="auto"/>
              <w:ind w:left="0" w:firstLine="0"/>
              <w:jc w:val="left"/>
            </w:pPr>
            <w:r>
              <w:t xml:space="preserve">Physics 3 </w:t>
            </w:r>
          </w:p>
        </w:tc>
        <w:tc>
          <w:tcPr>
            <w:tcW w:w="1383" w:type="dxa"/>
            <w:tcBorders>
              <w:top w:val="single" w:sz="4" w:space="0" w:color="000000"/>
              <w:left w:val="single" w:sz="4" w:space="0" w:color="000000"/>
              <w:bottom w:val="single" w:sz="4" w:space="0" w:color="000000"/>
              <w:right w:val="single" w:sz="4" w:space="0" w:color="000000"/>
            </w:tcBorders>
          </w:tcPr>
          <w:p w14:paraId="1D1C6AC3" w14:textId="77777777" w:rsidR="00462F23" w:rsidRDefault="00000000">
            <w:pPr>
              <w:spacing w:after="0" w:line="259" w:lineRule="auto"/>
              <w:ind w:left="0" w:firstLine="0"/>
              <w:jc w:val="left"/>
            </w:pPr>
            <w:r>
              <w:t xml:space="preserve">6 </w:t>
            </w:r>
          </w:p>
        </w:tc>
      </w:tr>
      <w:tr w:rsidR="00462F23" w14:paraId="23BC3105" w14:textId="77777777" w:rsidTr="00406262">
        <w:trPr>
          <w:trHeight w:val="562"/>
        </w:trPr>
        <w:tc>
          <w:tcPr>
            <w:tcW w:w="2057" w:type="dxa"/>
            <w:tcBorders>
              <w:top w:val="single" w:sz="4" w:space="0" w:color="000000"/>
              <w:left w:val="single" w:sz="4" w:space="0" w:color="000000"/>
              <w:bottom w:val="single" w:sz="4" w:space="0" w:color="000000"/>
              <w:right w:val="single" w:sz="4" w:space="0" w:color="000000"/>
            </w:tcBorders>
          </w:tcPr>
          <w:p w14:paraId="213CE4F3" w14:textId="77777777" w:rsidR="00462F23" w:rsidRDefault="00000000">
            <w:pPr>
              <w:spacing w:after="21" w:line="259" w:lineRule="auto"/>
              <w:ind w:left="0" w:firstLine="0"/>
              <w:jc w:val="left"/>
            </w:pPr>
            <w:r>
              <w:t xml:space="preserve">MATH 101 </w:t>
            </w:r>
          </w:p>
          <w:p w14:paraId="3827FD38" w14:textId="77777777" w:rsidR="00462F23" w:rsidRDefault="00000000">
            <w:pPr>
              <w:spacing w:after="0" w:line="259" w:lineRule="auto"/>
              <w:ind w:left="0" w:firstLine="0"/>
              <w:jc w:val="left"/>
            </w:pPr>
            <w:r>
              <w:t xml:space="preserve">MATH 103 </w:t>
            </w:r>
          </w:p>
        </w:tc>
        <w:tc>
          <w:tcPr>
            <w:tcW w:w="4386" w:type="dxa"/>
            <w:tcBorders>
              <w:top w:val="single" w:sz="4" w:space="0" w:color="000000"/>
              <w:left w:val="single" w:sz="4" w:space="0" w:color="000000"/>
              <w:bottom w:val="single" w:sz="4" w:space="0" w:color="000000"/>
              <w:right w:val="single" w:sz="4" w:space="0" w:color="000000"/>
            </w:tcBorders>
          </w:tcPr>
          <w:p w14:paraId="712A16FF" w14:textId="77777777" w:rsidR="00462F23" w:rsidRDefault="00000000">
            <w:pPr>
              <w:spacing w:after="22" w:line="259" w:lineRule="auto"/>
              <w:ind w:left="0" w:firstLine="0"/>
              <w:jc w:val="left"/>
            </w:pPr>
            <w:r>
              <w:t xml:space="preserve">Differential and Integral calculus, </w:t>
            </w:r>
          </w:p>
          <w:p w14:paraId="76C123AD" w14:textId="77777777" w:rsidR="00462F23" w:rsidRDefault="00000000">
            <w:pPr>
              <w:spacing w:after="0" w:line="259" w:lineRule="auto"/>
              <w:ind w:left="0" w:firstLine="0"/>
              <w:jc w:val="left"/>
            </w:pPr>
            <w:r>
              <w:t xml:space="preserve">Ordinary and Partial Differential Equations </w:t>
            </w:r>
          </w:p>
        </w:tc>
        <w:tc>
          <w:tcPr>
            <w:tcW w:w="1383" w:type="dxa"/>
            <w:tcBorders>
              <w:top w:val="single" w:sz="4" w:space="0" w:color="000000"/>
              <w:left w:val="single" w:sz="4" w:space="0" w:color="000000"/>
              <w:bottom w:val="single" w:sz="4" w:space="0" w:color="000000"/>
              <w:right w:val="single" w:sz="4" w:space="0" w:color="000000"/>
            </w:tcBorders>
          </w:tcPr>
          <w:p w14:paraId="6A82AB8A" w14:textId="77777777" w:rsidR="00462F23" w:rsidRDefault="00000000">
            <w:pPr>
              <w:spacing w:after="0" w:line="259" w:lineRule="auto"/>
              <w:ind w:left="0" w:firstLine="0"/>
              <w:jc w:val="left"/>
            </w:pPr>
            <w:r>
              <w:t xml:space="preserve">6 </w:t>
            </w:r>
          </w:p>
          <w:p w14:paraId="31FBCB8A" w14:textId="77777777" w:rsidR="00462F23" w:rsidRDefault="00000000">
            <w:pPr>
              <w:spacing w:after="0" w:line="259" w:lineRule="auto"/>
              <w:ind w:left="0" w:firstLine="0"/>
              <w:jc w:val="left"/>
            </w:pPr>
            <w:r>
              <w:t xml:space="preserve"> </w:t>
            </w:r>
          </w:p>
        </w:tc>
      </w:tr>
      <w:tr w:rsidR="00462F23" w14:paraId="2B21EFF2" w14:textId="77777777" w:rsidTr="00406262">
        <w:trPr>
          <w:trHeight w:val="286"/>
        </w:trPr>
        <w:tc>
          <w:tcPr>
            <w:tcW w:w="2057" w:type="dxa"/>
            <w:tcBorders>
              <w:top w:val="single" w:sz="4" w:space="0" w:color="000000"/>
              <w:left w:val="single" w:sz="4" w:space="0" w:color="000000"/>
              <w:bottom w:val="single" w:sz="4" w:space="0" w:color="000000"/>
              <w:right w:val="single" w:sz="4" w:space="0" w:color="000000"/>
            </w:tcBorders>
          </w:tcPr>
          <w:p w14:paraId="05B15606" w14:textId="77777777" w:rsidR="00462F23" w:rsidRDefault="00000000">
            <w:pPr>
              <w:spacing w:after="0" w:line="259" w:lineRule="auto"/>
              <w:ind w:left="0" w:firstLine="0"/>
              <w:jc w:val="left"/>
            </w:pPr>
            <w:r>
              <w:t xml:space="preserve">MATH 205 </w:t>
            </w:r>
          </w:p>
        </w:tc>
        <w:tc>
          <w:tcPr>
            <w:tcW w:w="4386" w:type="dxa"/>
            <w:tcBorders>
              <w:top w:val="single" w:sz="4" w:space="0" w:color="000000"/>
              <w:left w:val="single" w:sz="4" w:space="0" w:color="000000"/>
              <w:bottom w:val="single" w:sz="4" w:space="0" w:color="000000"/>
              <w:right w:val="single" w:sz="4" w:space="0" w:color="000000"/>
            </w:tcBorders>
          </w:tcPr>
          <w:p w14:paraId="7F3DE969" w14:textId="77777777" w:rsidR="00462F23" w:rsidRDefault="00000000">
            <w:pPr>
              <w:spacing w:after="0" w:line="259" w:lineRule="auto"/>
              <w:ind w:left="0" w:firstLine="0"/>
              <w:jc w:val="left"/>
            </w:pPr>
            <w:r>
              <w:t xml:space="preserve">Linear Algebra and Complex Variable </w:t>
            </w:r>
          </w:p>
        </w:tc>
        <w:tc>
          <w:tcPr>
            <w:tcW w:w="1383" w:type="dxa"/>
            <w:tcBorders>
              <w:top w:val="single" w:sz="4" w:space="0" w:color="000000"/>
              <w:left w:val="single" w:sz="4" w:space="0" w:color="000000"/>
              <w:bottom w:val="single" w:sz="4" w:space="0" w:color="000000"/>
              <w:right w:val="single" w:sz="4" w:space="0" w:color="000000"/>
            </w:tcBorders>
          </w:tcPr>
          <w:p w14:paraId="05305B0F" w14:textId="77777777" w:rsidR="00462F23" w:rsidRDefault="00000000">
            <w:pPr>
              <w:spacing w:after="0" w:line="259" w:lineRule="auto"/>
              <w:ind w:left="0" w:firstLine="0"/>
              <w:jc w:val="left"/>
            </w:pPr>
            <w:r>
              <w:t xml:space="preserve">6 </w:t>
            </w:r>
          </w:p>
        </w:tc>
      </w:tr>
      <w:tr w:rsidR="00462F23" w14:paraId="61790FDE" w14:textId="77777777" w:rsidTr="00406262">
        <w:trPr>
          <w:trHeight w:val="562"/>
        </w:trPr>
        <w:tc>
          <w:tcPr>
            <w:tcW w:w="2057" w:type="dxa"/>
            <w:tcBorders>
              <w:top w:val="single" w:sz="4" w:space="0" w:color="000000"/>
              <w:left w:val="single" w:sz="4" w:space="0" w:color="000000"/>
              <w:bottom w:val="single" w:sz="4" w:space="0" w:color="000000"/>
              <w:right w:val="single" w:sz="4" w:space="0" w:color="000000"/>
            </w:tcBorders>
          </w:tcPr>
          <w:p w14:paraId="4FFED1CF" w14:textId="77777777" w:rsidR="00462F23" w:rsidRDefault="00000000">
            <w:pPr>
              <w:spacing w:after="0" w:line="259" w:lineRule="auto"/>
              <w:ind w:left="0" w:firstLine="0"/>
              <w:jc w:val="left"/>
            </w:pPr>
            <w:r>
              <w:t xml:space="preserve">CSE 101 </w:t>
            </w:r>
          </w:p>
        </w:tc>
        <w:tc>
          <w:tcPr>
            <w:tcW w:w="4386" w:type="dxa"/>
            <w:tcBorders>
              <w:top w:val="single" w:sz="4" w:space="0" w:color="000000"/>
              <w:left w:val="single" w:sz="4" w:space="0" w:color="000000"/>
              <w:bottom w:val="single" w:sz="4" w:space="0" w:color="000000"/>
              <w:right w:val="single" w:sz="4" w:space="0" w:color="000000"/>
            </w:tcBorders>
          </w:tcPr>
          <w:p w14:paraId="7DC3C331" w14:textId="77777777" w:rsidR="00462F23" w:rsidRDefault="00000000">
            <w:pPr>
              <w:spacing w:after="0" w:line="259" w:lineRule="auto"/>
              <w:ind w:left="0" w:firstLine="0"/>
              <w:jc w:val="left"/>
            </w:pPr>
            <w:r>
              <w:t xml:space="preserve">Computer Programming </w:t>
            </w:r>
          </w:p>
        </w:tc>
        <w:tc>
          <w:tcPr>
            <w:tcW w:w="1383" w:type="dxa"/>
            <w:tcBorders>
              <w:top w:val="single" w:sz="4" w:space="0" w:color="000000"/>
              <w:left w:val="single" w:sz="4" w:space="0" w:color="000000"/>
              <w:bottom w:val="single" w:sz="4" w:space="0" w:color="000000"/>
              <w:right w:val="single" w:sz="4" w:space="0" w:color="000000"/>
            </w:tcBorders>
          </w:tcPr>
          <w:p w14:paraId="5A243C90" w14:textId="77777777" w:rsidR="00462F23" w:rsidRDefault="00000000">
            <w:pPr>
              <w:spacing w:after="7" w:line="259" w:lineRule="auto"/>
              <w:ind w:left="0" w:firstLine="0"/>
              <w:jc w:val="left"/>
            </w:pPr>
            <w:r>
              <w:t xml:space="preserve">6 </w:t>
            </w:r>
          </w:p>
          <w:p w14:paraId="3B3453A1" w14:textId="77777777" w:rsidR="00462F23" w:rsidRDefault="00000000">
            <w:pPr>
              <w:spacing w:after="0" w:line="259" w:lineRule="auto"/>
              <w:ind w:left="0" w:firstLine="0"/>
              <w:jc w:val="left"/>
            </w:pPr>
            <w:r>
              <w:t xml:space="preserve">6 </w:t>
            </w:r>
          </w:p>
        </w:tc>
      </w:tr>
      <w:tr w:rsidR="00462F23" w14:paraId="1CBD4B61" w14:textId="77777777" w:rsidTr="00406262">
        <w:trPr>
          <w:trHeight w:val="286"/>
        </w:trPr>
        <w:tc>
          <w:tcPr>
            <w:tcW w:w="2057" w:type="dxa"/>
            <w:tcBorders>
              <w:top w:val="single" w:sz="4" w:space="0" w:color="000000"/>
              <w:left w:val="single" w:sz="4" w:space="0" w:color="000000"/>
              <w:bottom w:val="single" w:sz="4" w:space="0" w:color="000000"/>
              <w:right w:val="single" w:sz="4" w:space="0" w:color="000000"/>
            </w:tcBorders>
          </w:tcPr>
          <w:p w14:paraId="7C62A351" w14:textId="77777777" w:rsidR="00462F23" w:rsidRDefault="00000000">
            <w:pPr>
              <w:spacing w:after="0" w:line="259" w:lineRule="auto"/>
              <w:ind w:left="0" w:firstLine="0"/>
              <w:jc w:val="left"/>
            </w:pPr>
            <w:r>
              <w:t xml:space="preserve">ME 201 </w:t>
            </w:r>
          </w:p>
        </w:tc>
        <w:tc>
          <w:tcPr>
            <w:tcW w:w="4386" w:type="dxa"/>
            <w:tcBorders>
              <w:top w:val="single" w:sz="4" w:space="0" w:color="000000"/>
              <w:left w:val="single" w:sz="4" w:space="0" w:color="000000"/>
              <w:bottom w:val="single" w:sz="4" w:space="0" w:color="000000"/>
              <w:right w:val="single" w:sz="4" w:space="0" w:color="000000"/>
            </w:tcBorders>
          </w:tcPr>
          <w:p w14:paraId="6F205B4D" w14:textId="77777777" w:rsidR="00462F23" w:rsidRDefault="00000000">
            <w:pPr>
              <w:spacing w:after="0" w:line="259" w:lineRule="auto"/>
              <w:ind w:left="0" w:firstLine="0"/>
              <w:jc w:val="left"/>
            </w:pPr>
            <w:r>
              <w:t xml:space="preserve">Mechanical Engineering Fundamentals </w:t>
            </w:r>
          </w:p>
        </w:tc>
        <w:tc>
          <w:tcPr>
            <w:tcW w:w="1383" w:type="dxa"/>
            <w:tcBorders>
              <w:top w:val="single" w:sz="4" w:space="0" w:color="000000"/>
              <w:left w:val="single" w:sz="4" w:space="0" w:color="000000"/>
              <w:bottom w:val="single" w:sz="4" w:space="0" w:color="000000"/>
              <w:right w:val="single" w:sz="4" w:space="0" w:color="000000"/>
            </w:tcBorders>
          </w:tcPr>
          <w:p w14:paraId="475B82FF" w14:textId="77777777" w:rsidR="00462F23" w:rsidRDefault="00000000">
            <w:pPr>
              <w:spacing w:after="0" w:line="259" w:lineRule="auto"/>
              <w:ind w:left="0" w:firstLine="0"/>
              <w:jc w:val="left"/>
            </w:pPr>
            <w:r>
              <w:t xml:space="preserve">6 </w:t>
            </w:r>
          </w:p>
        </w:tc>
      </w:tr>
      <w:tr w:rsidR="00462F23" w14:paraId="0B9F4ABB" w14:textId="77777777" w:rsidTr="00406262">
        <w:trPr>
          <w:trHeight w:val="286"/>
        </w:trPr>
        <w:tc>
          <w:tcPr>
            <w:tcW w:w="2057" w:type="dxa"/>
            <w:tcBorders>
              <w:top w:val="single" w:sz="4" w:space="0" w:color="000000"/>
              <w:left w:val="single" w:sz="4" w:space="0" w:color="000000"/>
              <w:bottom w:val="single" w:sz="4" w:space="0" w:color="000000"/>
              <w:right w:val="single" w:sz="4" w:space="0" w:color="000000"/>
            </w:tcBorders>
          </w:tcPr>
          <w:p w14:paraId="25017A71" w14:textId="77777777" w:rsidR="00462F23" w:rsidRDefault="00000000">
            <w:pPr>
              <w:spacing w:after="0" w:line="259" w:lineRule="auto"/>
              <w:ind w:left="0" w:firstLine="0"/>
              <w:jc w:val="left"/>
            </w:pPr>
            <w:r>
              <w:t xml:space="preserve">EEE101 </w:t>
            </w:r>
          </w:p>
        </w:tc>
        <w:tc>
          <w:tcPr>
            <w:tcW w:w="4386" w:type="dxa"/>
            <w:tcBorders>
              <w:top w:val="single" w:sz="4" w:space="0" w:color="000000"/>
              <w:left w:val="single" w:sz="4" w:space="0" w:color="000000"/>
              <w:bottom w:val="single" w:sz="4" w:space="0" w:color="000000"/>
              <w:right w:val="single" w:sz="4" w:space="0" w:color="000000"/>
            </w:tcBorders>
          </w:tcPr>
          <w:p w14:paraId="44C30F5A" w14:textId="77777777" w:rsidR="00462F23" w:rsidRDefault="00000000">
            <w:pPr>
              <w:spacing w:after="0" w:line="259" w:lineRule="auto"/>
              <w:ind w:left="0" w:firstLine="0"/>
              <w:jc w:val="left"/>
            </w:pPr>
            <w:r>
              <w:t xml:space="preserve">Electrical Circuits-1 </w:t>
            </w:r>
          </w:p>
        </w:tc>
        <w:tc>
          <w:tcPr>
            <w:tcW w:w="1383" w:type="dxa"/>
            <w:tcBorders>
              <w:top w:val="single" w:sz="4" w:space="0" w:color="000000"/>
              <w:left w:val="single" w:sz="4" w:space="0" w:color="000000"/>
              <w:bottom w:val="single" w:sz="4" w:space="0" w:color="000000"/>
              <w:right w:val="single" w:sz="4" w:space="0" w:color="000000"/>
            </w:tcBorders>
          </w:tcPr>
          <w:p w14:paraId="0A30C26B" w14:textId="77777777" w:rsidR="00462F23" w:rsidRDefault="00000000">
            <w:pPr>
              <w:spacing w:after="0" w:line="259" w:lineRule="auto"/>
              <w:ind w:left="0" w:firstLine="0"/>
              <w:jc w:val="left"/>
            </w:pPr>
            <w:r>
              <w:t xml:space="preserve">6 </w:t>
            </w:r>
          </w:p>
        </w:tc>
      </w:tr>
      <w:tr w:rsidR="00462F23" w14:paraId="06B530AD" w14:textId="77777777" w:rsidTr="00406262">
        <w:trPr>
          <w:trHeight w:val="289"/>
        </w:trPr>
        <w:tc>
          <w:tcPr>
            <w:tcW w:w="2057" w:type="dxa"/>
            <w:tcBorders>
              <w:top w:val="single" w:sz="4" w:space="0" w:color="000000"/>
              <w:left w:val="single" w:sz="4" w:space="0" w:color="000000"/>
              <w:bottom w:val="single" w:sz="4" w:space="0" w:color="000000"/>
              <w:right w:val="single" w:sz="4" w:space="0" w:color="000000"/>
            </w:tcBorders>
          </w:tcPr>
          <w:p w14:paraId="7902A2D3" w14:textId="77777777" w:rsidR="00462F23" w:rsidRDefault="00000000">
            <w:pPr>
              <w:spacing w:after="0" w:line="259" w:lineRule="auto"/>
              <w:ind w:left="0" w:firstLine="0"/>
              <w:jc w:val="left"/>
            </w:pPr>
            <w:r>
              <w:t xml:space="preserve">EEE 203 </w:t>
            </w:r>
          </w:p>
        </w:tc>
        <w:tc>
          <w:tcPr>
            <w:tcW w:w="4386" w:type="dxa"/>
            <w:tcBorders>
              <w:top w:val="single" w:sz="4" w:space="0" w:color="000000"/>
              <w:left w:val="single" w:sz="4" w:space="0" w:color="000000"/>
              <w:bottom w:val="single" w:sz="4" w:space="0" w:color="000000"/>
              <w:right w:val="single" w:sz="4" w:space="0" w:color="000000"/>
            </w:tcBorders>
          </w:tcPr>
          <w:p w14:paraId="752D7003" w14:textId="77777777" w:rsidR="00462F23" w:rsidRDefault="00000000">
            <w:pPr>
              <w:spacing w:after="0" w:line="259" w:lineRule="auto"/>
              <w:ind w:left="0" w:firstLine="0"/>
              <w:jc w:val="left"/>
            </w:pPr>
            <w:r>
              <w:t xml:space="preserve">Energy conversion -I </w:t>
            </w:r>
          </w:p>
        </w:tc>
        <w:tc>
          <w:tcPr>
            <w:tcW w:w="1383" w:type="dxa"/>
            <w:tcBorders>
              <w:top w:val="single" w:sz="4" w:space="0" w:color="000000"/>
              <w:left w:val="single" w:sz="4" w:space="0" w:color="000000"/>
              <w:bottom w:val="single" w:sz="4" w:space="0" w:color="000000"/>
              <w:right w:val="single" w:sz="4" w:space="0" w:color="000000"/>
            </w:tcBorders>
          </w:tcPr>
          <w:p w14:paraId="6B2F0A90" w14:textId="77777777" w:rsidR="00462F23" w:rsidRDefault="00000000">
            <w:pPr>
              <w:spacing w:after="0" w:line="259" w:lineRule="auto"/>
              <w:ind w:left="0" w:firstLine="0"/>
              <w:jc w:val="left"/>
            </w:pPr>
            <w:r>
              <w:t xml:space="preserve">6 </w:t>
            </w:r>
          </w:p>
        </w:tc>
      </w:tr>
      <w:tr w:rsidR="00462F23" w14:paraId="73FF9DE2" w14:textId="77777777" w:rsidTr="00406262">
        <w:trPr>
          <w:trHeight w:val="286"/>
        </w:trPr>
        <w:tc>
          <w:tcPr>
            <w:tcW w:w="2057" w:type="dxa"/>
            <w:tcBorders>
              <w:top w:val="single" w:sz="4" w:space="0" w:color="000000"/>
              <w:left w:val="single" w:sz="4" w:space="0" w:color="000000"/>
              <w:bottom w:val="single" w:sz="4" w:space="0" w:color="000000"/>
              <w:right w:val="single" w:sz="4" w:space="0" w:color="000000"/>
            </w:tcBorders>
          </w:tcPr>
          <w:p w14:paraId="701901C9" w14:textId="77777777" w:rsidR="00462F23" w:rsidRDefault="00000000">
            <w:pPr>
              <w:spacing w:after="0" w:line="259" w:lineRule="auto"/>
              <w:ind w:left="0" w:firstLine="0"/>
              <w:jc w:val="left"/>
            </w:pPr>
            <w:r>
              <w:t xml:space="preserve">EEE 103 </w:t>
            </w:r>
          </w:p>
        </w:tc>
        <w:tc>
          <w:tcPr>
            <w:tcW w:w="4386" w:type="dxa"/>
            <w:tcBorders>
              <w:top w:val="single" w:sz="4" w:space="0" w:color="000000"/>
              <w:left w:val="single" w:sz="4" w:space="0" w:color="000000"/>
              <w:bottom w:val="single" w:sz="4" w:space="0" w:color="000000"/>
              <w:right w:val="single" w:sz="4" w:space="0" w:color="000000"/>
            </w:tcBorders>
          </w:tcPr>
          <w:p w14:paraId="0A666AEB" w14:textId="77777777" w:rsidR="00462F23" w:rsidRDefault="00000000">
            <w:pPr>
              <w:spacing w:after="0" w:line="259" w:lineRule="auto"/>
              <w:ind w:left="0" w:firstLine="0"/>
              <w:jc w:val="left"/>
            </w:pPr>
            <w:r>
              <w:t xml:space="preserve">Electrical Circuits-II </w:t>
            </w:r>
          </w:p>
        </w:tc>
        <w:tc>
          <w:tcPr>
            <w:tcW w:w="1383" w:type="dxa"/>
            <w:tcBorders>
              <w:top w:val="single" w:sz="4" w:space="0" w:color="000000"/>
              <w:left w:val="single" w:sz="4" w:space="0" w:color="000000"/>
              <w:bottom w:val="single" w:sz="4" w:space="0" w:color="000000"/>
              <w:right w:val="single" w:sz="4" w:space="0" w:color="000000"/>
            </w:tcBorders>
          </w:tcPr>
          <w:p w14:paraId="16206642" w14:textId="77777777" w:rsidR="00462F23" w:rsidRDefault="00000000">
            <w:pPr>
              <w:spacing w:after="0" w:line="259" w:lineRule="auto"/>
              <w:ind w:left="0" w:firstLine="0"/>
              <w:jc w:val="left"/>
            </w:pPr>
            <w:r>
              <w:t xml:space="preserve">6 </w:t>
            </w:r>
          </w:p>
        </w:tc>
      </w:tr>
      <w:tr w:rsidR="00462F23" w14:paraId="5A553C0C" w14:textId="77777777" w:rsidTr="00406262">
        <w:trPr>
          <w:trHeight w:val="562"/>
        </w:trPr>
        <w:tc>
          <w:tcPr>
            <w:tcW w:w="2057" w:type="dxa"/>
            <w:tcBorders>
              <w:top w:val="single" w:sz="4" w:space="0" w:color="000000"/>
              <w:left w:val="single" w:sz="4" w:space="0" w:color="000000"/>
              <w:bottom w:val="single" w:sz="4" w:space="0" w:color="000000"/>
              <w:right w:val="single" w:sz="4" w:space="0" w:color="000000"/>
            </w:tcBorders>
          </w:tcPr>
          <w:p w14:paraId="3058D1E0" w14:textId="77777777" w:rsidR="00462F23" w:rsidRDefault="00000000">
            <w:pPr>
              <w:spacing w:after="21" w:line="259" w:lineRule="auto"/>
              <w:ind w:left="0" w:firstLine="0"/>
              <w:jc w:val="left"/>
            </w:pPr>
            <w:r>
              <w:t xml:space="preserve">MATH 207 </w:t>
            </w:r>
          </w:p>
          <w:p w14:paraId="5A785212" w14:textId="77777777" w:rsidR="00462F23" w:rsidRDefault="00000000">
            <w:pPr>
              <w:spacing w:after="0" w:line="259" w:lineRule="auto"/>
              <w:ind w:left="0" w:firstLine="0"/>
              <w:jc w:val="left"/>
            </w:pPr>
            <w:r>
              <w:t xml:space="preserve">MATH 209 </w:t>
            </w:r>
          </w:p>
        </w:tc>
        <w:tc>
          <w:tcPr>
            <w:tcW w:w="4386" w:type="dxa"/>
            <w:tcBorders>
              <w:top w:val="single" w:sz="4" w:space="0" w:color="000000"/>
              <w:left w:val="single" w:sz="4" w:space="0" w:color="000000"/>
              <w:bottom w:val="single" w:sz="4" w:space="0" w:color="000000"/>
              <w:right w:val="single" w:sz="4" w:space="0" w:color="000000"/>
            </w:tcBorders>
          </w:tcPr>
          <w:p w14:paraId="54F15242" w14:textId="77777777" w:rsidR="00462F23" w:rsidRDefault="00000000">
            <w:pPr>
              <w:spacing w:after="0" w:line="259" w:lineRule="auto"/>
              <w:ind w:left="0" w:firstLine="0"/>
              <w:jc w:val="left"/>
            </w:pPr>
            <w:r>
              <w:t xml:space="preserve">Co-ordinary Geometry and Vector </w:t>
            </w:r>
            <w:proofErr w:type="gramStart"/>
            <w:r>
              <w:t>Analysis  Probability</w:t>
            </w:r>
            <w:proofErr w:type="gramEnd"/>
            <w:r>
              <w:t xml:space="preserve"> and Statistics </w:t>
            </w:r>
          </w:p>
        </w:tc>
        <w:tc>
          <w:tcPr>
            <w:tcW w:w="1383" w:type="dxa"/>
            <w:tcBorders>
              <w:top w:val="single" w:sz="4" w:space="0" w:color="000000"/>
              <w:left w:val="single" w:sz="4" w:space="0" w:color="000000"/>
              <w:bottom w:val="single" w:sz="4" w:space="0" w:color="000000"/>
              <w:right w:val="single" w:sz="4" w:space="0" w:color="000000"/>
            </w:tcBorders>
          </w:tcPr>
          <w:p w14:paraId="48ED8006" w14:textId="77777777" w:rsidR="00462F23" w:rsidRDefault="00000000">
            <w:pPr>
              <w:spacing w:after="0" w:line="259" w:lineRule="auto"/>
              <w:ind w:left="0" w:firstLine="0"/>
              <w:jc w:val="left"/>
            </w:pPr>
            <w:r>
              <w:t xml:space="preserve">6 </w:t>
            </w:r>
          </w:p>
        </w:tc>
      </w:tr>
      <w:tr w:rsidR="00462F23" w14:paraId="4882FF39" w14:textId="77777777" w:rsidTr="00406262">
        <w:trPr>
          <w:trHeight w:val="286"/>
        </w:trPr>
        <w:tc>
          <w:tcPr>
            <w:tcW w:w="2057" w:type="dxa"/>
            <w:tcBorders>
              <w:top w:val="single" w:sz="4" w:space="0" w:color="000000"/>
              <w:left w:val="single" w:sz="4" w:space="0" w:color="000000"/>
              <w:bottom w:val="single" w:sz="4" w:space="0" w:color="000000"/>
              <w:right w:val="single" w:sz="4" w:space="0" w:color="000000"/>
            </w:tcBorders>
          </w:tcPr>
          <w:p w14:paraId="12ED7858" w14:textId="77777777" w:rsidR="00462F23" w:rsidRDefault="00000000">
            <w:pPr>
              <w:spacing w:after="0" w:line="259" w:lineRule="auto"/>
              <w:ind w:left="0" w:firstLine="0"/>
              <w:jc w:val="left"/>
            </w:pPr>
            <w:r>
              <w:t xml:space="preserve">EEE 201 </w:t>
            </w:r>
          </w:p>
        </w:tc>
        <w:tc>
          <w:tcPr>
            <w:tcW w:w="4386" w:type="dxa"/>
            <w:tcBorders>
              <w:top w:val="single" w:sz="4" w:space="0" w:color="000000"/>
              <w:left w:val="single" w:sz="4" w:space="0" w:color="000000"/>
              <w:bottom w:val="single" w:sz="4" w:space="0" w:color="000000"/>
              <w:right w:val="single" w:sz="4" w:space="0" w:color="000000"/>
            </w:tcBorders>
          </w:tcPr>
          <w:p w14:paraId="3B2E9598" w14:textId="77777777" w:rsidR="00462F23" w:rsidRDefault="00000000">
            <w:pPr>
              <w:spacing w:after="0" w:line="259" w:lineRule="auto"/>
              <w:ind w:left="0" w:firstLine="0"/>
              <w:jc w:val="left"/>
            </w:pPr>
            <w:r>
              <w:t xml:space="preserve">Electronics -I </w:t>
            </w:r>
          </w:p>
        </w:tc>
        <w:tc>
          <w:tcPr>
            <w:tcW w:w="1383" w:type="dxa"/>
            <w:tcBorders>
              <w:top w:val="single" w:sz="4" w:space="0" w:color="000000"/>
              <w:left w:val="single" w:sz="4" w:space="0" w:color="000000"/>
              <w:bottom w:val="single" w:sz="4" w:space="0" w:color="000000"/>
              <w:right w:val="single" w:sz="4" w:space="0" w:color="000000"/>
            </w:tcBorders>
          </w:tcPr>
          <w:p w14:paraId="052DC8F5" w14:textId="77777777" w:rsidR="00462F23" w:rsidRDefault="00000000">
            <w:pPr>
              <w:spacing w:after="0" w:line="259" w:lineRule="auto"/>
              <w:ind w:left="0" w:firstLine="0"/>
              <w:jc w:val="left"/>
            </w:pPr>
            <w:r>
              <w:t xml:space="preserve">6 </w:t>
            </w:r>
          </w:p>
        </w:tc>
      </w:tr>
      <w:tr w:rsidR="00462F23" w14:paraId="7D2DAC48" w14:textId="77777777" w:rsidTr="00406262">
        <w:trPr>
          <w:trHeight w:val="286"/>
        </w:trPr>
        <w:tc>
          <w:tcPr>
            <w:tcW w:w="2057" w:type="dxa"/>
            <w:tcBorders>
              <w:top w:val="single" w:sz="4" w:space="0" w:color="000000"/>
              <w:left w:val="single" w:sz="4" w:space="0" w:color="000000"/>
              <w:bottom w:val="single" w:sz="4" w:space="0" w:color="000000"/>
              <w:right w:val="single" w:sz="4" w:space="0" w:color="000000"/>
            </w:tcBorders>
          </w:tcPr>
          <w:p w14:paraId="64860B97" w14:textId="77777777" w:rsidR="00462F23" w:rsidRDefault="00000000">
            <w:pPr>
              <w:spacing w:after="0" w:line="259" w:lineRule="auto"/>
              <w:ind w:left="0" w:firstLine="0"/>
              <w:jc w:val="left"/>
            </w:pPr>
            <w:r>
              <w:t xml:space="preserve">HUM 207 </w:t>
            </w:r>
          </w:p>
        </w:tc>
        <w:tc>
          <w:tcPr>
            <w:tcW w:w="4386" w:type="dxa"/>
            <w:tcBorders>
              <w:top w:val="single" w:sz="4" w:space="0" w:color="000000"/>
              <w:left w:val="single" w:sz="4" w:space="0" w:color="000000"/>
              <w:bottom w:val="single" w:sz="4" w:space="0" w:color="000000"/>
              <w:right w:val="single" w:sz="4" w:space="0" w:color="000000"/>
            </w:tcBorders>
          </w:tcPr>
          <w:p w14:paraId="0577908D" w14:textId="77777777" w:rsidR="00462F23" w:rsidRDefault="00000000">
            <w:pPr>
              <w:spacing w:after="0" w:line="259" w:lineRule="auto"/>
              <w:ind w:left="0" w:firstLine="0"/>
              <w:jc w:val="left"/>
            </w:pPr>
            <w:r>
              <w:t xml:space="preserve">Engineering Economics </w:t>
            </w:r>
          </w:p>
        </w:tc>
        <w:tc>
          <w:tcPr>
            <w:tcW w:w="1383" w:type="dxa"/>
            <w:tcBorders>
              <w:top w:val="single" w:sz="4" w:space="0" w:color="000000"/>
              <w:left w:val="single" w:sz="4" w:space="0" w:color="000000"/>
              <w:bottom w:val="single" w:sz="4" w:space="0" w:color="000000"/>
              <w:right w:val="single" w:sz="4" w:space="0" w:color="000000"/>
            </w:tcBorders>
          </w:tcPr>
          <w:p w14:paraId="56F12BE4" w14:textId="77777777" w:rsidR="00462F23" w:rsidRDefault="00000000">
            <w:pPr>
              <w:spacing w:after="0" w:line="259" w:lineRule="auto"/>
              <w:ind w:left="0" w:firstLine="0"/>
              <w:jc w:val="left"/>
            </w:pPr>
            <w:r>
              <w:t xml:space="preserve">6 </w:t>
            </w:r>
          </w:p>
        </w:tc>
      </w:tr>
      <w:tr w:rsidR="00462F23" w14:paraId="6AD7E3A0" w14:textId="77777777" w:rsidTr="00406262">
        <w:trPr>
          <w:trHeight w:val="286"/>
        </w:trPr>
        <w:tc>
          <w:tcPr>
            <w:tcW w:w="2057" w:type="dxa"/>
            <w:tcBorders>
              <w:top w:val="single" w:sz="4" w:space="0" w:color="000000"/>
              <w:left w:val="single" w:sz="4" w:space="0" w:color="000000"/>
              <w:bottom w:val="single" w:sz="4" w:space="0" w:color="000000"/>
              <w:right w:val="single" w:sz="4" w:space="0" w:color="000000"/>
            </w:tcBorders>
          </w:tcPr>
          <w:p w14:paraId="5C3739EB" w14:textId="77777777" w:rsidR="00462F23" w:rsidRDefault="00000000">
            <w:pPr>
              <w:spacing w:after="0" w:line="259" w:lineRule="auto"/>
              <w:ind w:left="0" w:firstLine="0"/>
              <w:jc w:val="left"/>
            </w:pPr>
            <w:r>
              <w:t xml:space="preserve">EEE 209 </w:t>
            </w:r>
          </w:p>
        </w:tc>
        <w:tc>
          <w:tcPr>
            <w:tcW w:w="4386" w:type="dxa"/>
            <w:tcBorders>
              <w:top w:val="single" w:sz="4" w:space="0" w:color="000000"/>
              <w:left w:val="single" w:sz="4" w:space="0" w:color="000000"/>
              <w:bottom w:val="single" w:sz="4" w:space="0" w:color="000000"/>
              <w:right w:val="single" w:sz="4" w:space="0" w:color="000000"/>
            </w:tcBorders>
          </w:tcPr>
          <w:p w14:paraId="4DB5DEA3" w14:textId="77777777" w:rsidR="00462F23" w:rsidRDefault="00000000">
            <w:pPr>
              <w:spacing w:after="0" w:line="259" w:lineRule="auto"/>
              <w:ind w:left="0" w:firstLine="0"/>
              <w:jc w:val="left"/>
            </w:pPr>
            <w:r>
              <w:t xml:space="preserve">Electronics -II </w:t>
            </w:r>
          </w:p>
        </w:tc>
        <w:tc>
          <w:tcPr>
            <w:tcW w:w="1383" w:type="dxa"/>
            <w:tcBorders>
              <w:top w:val="single" w:sz="4" w:space="0" w:color="000000"/>
              <w:left w:val="single" w:sz="4" w:space="0" w:color="000000"/>
              <w:bottom w:val="single" w:sz="4" w:space="0" w:color="000000"/>
              <w:right w:val="single" w:sz="4" w:space="0" w:color="000000"/>
            </w:tcBorders>
          </w:tcPr>
          <w:p w14:paraId="552AED21" w14:textId="77777777" w:rsidR="00462F23" w:rsidRDefault="00000000">
            <w:pPr>
              <w:spacing w:after="0" w:line="259" w:lineRule="auto"/>
              <w:ind w:left="0" w:firstLine="0"/>
              <w:jc w:val="left"/>
            </w:pPr>
            <w:r>
              <w:t xml:space="preserve">6 </w:t>
            </w:r>
          </w:p>
        </w:tc>
      </w:tr>
      <w:tr w:rsidR="00462F23" w14:paraId="0EA9A987" w14:textId="77777777" w:rsidTr="00406262">
        <w:trPr>
          <w:trHeight w:val="288"/>
        </w:trPr>
        <w:tc>
          <w:tcPr>
            <w:tcW w:w="2057" w:type="dxa"/>
            <w:tcBorders>
              <w:top w:val="single" w:sz="4" w:space="0" w:color="000000"/>
              <w:left w:val="single" w:sz="4" w:space="0" w:color="000000"/>
              <w:bottom w:val="single" w:sz="4" w:space="0" w:color="000000"/>
              <w:right w:val="single" w:sz="4" w:space="0" w:color="000000"/>
            </w:tcBorders>
          </w:tcPr>
          <w:p w14:paraId="77446CC1" w14:textId="77777777" w:rsidR="00462F23" w:rsidRDefault="00000000">
            <w:pPr>
              <w:spacing w:after="0" w:line="259" w:lineRule="auto"/>
              <w:ind w:left="0" w:firstLine="0"/>
              <w:jc w:val="left"/>
            </w:pPr>
            <w:r>
              <w:t xml:space="preserve">EEE 205 </w:t>
            </w:r>
          </w:p>
        </w:tc>
        <w:tc>
          <w:tcPr>
            <w:tcW w:w="4386" w:type="dxa"/>
            <w:tcBorders>
              <w:top w:val="single" w:sz="4" w:space="0" w:color="000000"/>
              <w:left w:val="single" w:sz="4" w:space="0" w:color="000000"/>
              <w:bottom w:val="single" w:sz="4" w:space="0" w:color="000000"/>
              <w:right w:val="single" w:sz="4" w:space="0" w:color="000000"/>
            </w:tcBorders>
          </w:tcPr>
          <w:p w14:paraId="170D1D3B" w14:textId="77777777" w:rsidR="00462F23" w:rsidRDefault="00000000">
            <w:pPr>
              <w:spacing w:after="0" w:line="259" w:lineRule="auto"/>
              <w:ind w:left="0" w:firstLine="0"/>
              <w:jc w:val="left"/>
            </w:pPr>
            <w:r>
              <w:t xml:space="preserve">Engineering Electromagnetics </w:t>
            </w:r>
          </w:p>
        </w:tc>
        <w:tc>
          <w:tcPr>
            <w:tcW w:w="1383" w:type="dxa"/>
            <w:tcBorders>
              <w:top w:val="single" w:sz="4" w:space="0" w:color="000000"/>
              <w:left w:val="single" w:sz="4" w:space="0" w:color="000000"/>
              <w:bottom w:val="single" w:sz="4" w:space="0" w:color="000000"/>
              <w:right w:val="single" w:sz="4" w:space="0" w:color="000000"/>
            </w:tcBorders>
          </w:tcPr>
          <w:p w14:paraId="6D27104F" w14:textId="77777777" w:rsidR="00462F23" w:rsidRDefault="00000000">
            <w:pPr>
              <w:spacing w:after="0" w:line="259" w:lineRule="auto"/>
              <w:ind w:left="0" w:firstLine="0"/>
              <w:jc w:val="left"/>
            </w:pPr>
            <w:r>
              <w:t xml:space="preserve">6 </w:t>
            </w:r>
          </w:p>
        </w:tc>
      </w:tr>
      <w:tr w:rsidR="00462F23" w14:paraId="41F2949C" w14:textId="77777777" w:rsidTr="00406262">
        <w:trPr>
          <w:trHeight w:val="286"/>
        </w:trPr>
        <w:tc>
          <w:tcPr>
            <w:tcW w:w="2057" w:type="dxa"/>
            <w:tcBorders>
              <w:top w:val="single" w:sz="4" w:space="0" w:color="000000"/>
              <w:left w:val="single" w:sz="4" w:space="0" w:color="000000"/>
              <w:bottom w:val="single" w:sz="4" w:space="0" w:color="000000"/>
              <w:right w:val="single" w:sz="4" w:space="0" w:color="000000"/>
            </w:tcBorders>
          </w:tcPr>
          <w:p w14:paraId="1DD95937" w14:textId="77777777" w:rsidR="00462F23" w:rsidRDefault="00000000">
            <w:pPr>
              <w:spacing w:after="0" w:line="259" w:lineRule="auto"/>
              <w:ind w:left="0" w:firstLine="0"/>
              <w:jc w:val="left"/>
            </w:pPr>
            <w:r>
              <w:t xml:space="preserve">EEE 207 </w:t>
            </w:r>
          </w:p>
        </w:tc>
        <w:tc>
          <w:tcPr>
            <w:tcW w:w="4386" w:type="dxa"/>
            <w:tcBorders>
              <w:top w:val="single" w:sz="4" w:space="0" w:color="000000"/>
              <w:left w:val="single" w:sz="4" w:space="0" w:color="000000"/>
              <w:bottom w:val="single" w:sz="4" w:space="0" w:color="000000"/>
              <w:right w:val="single" w:sz="4" w:space="0" w:color="000000"/>
            </w:tcBorders>
          </w:tcPr>
          <w:p w14:paraId="36405D29" w14:textId="77777777" w:rsidR="00462F23" w:rsidRDefault="00000000">
            <w:pPr>
              <w:spacing w:after="0" w:line="259" w:lineRule="auto"/>
              <w:ind w:left="0" w:firstLine="0"/>
              <w:jc w:val="left"/>
            </w:pPr>
            <w:r>
              <w:t xml:space="preserve">Energy Conversion-II </w:t>
            </w:r>
          </w:p>
        </w:tc>
        <w:tc>
          <w:tcPr>
            <w:tcW w:w="1383" w:type="dxa"/>
            <w:tcBorders>
              <w:top w:val="single" w:sz="4" w:space="0" w:color="000000"/>
              <w:left w:val="single" w:sz="4" w:space="0" w:color="000000"/>
              <w:bottom w:val="single" w:sz="4" w:space="0" w:color="000000"/>
              <w:right w:val="single" w:sz="4" w:space="0" w:color="000000"/>
            </w:tcBorders>
          </w:tcPr>
          <w:p w14:paraId="5E42C0FD" w14:textId="77777777" w:rsidR="00462F23" w:rsidRDefault="00000000">
            <w:pPr>
              <w:spacing w:after="0" w:line="259" w:lineRule="auto"/>
              <w:ind w:left="0" w:firstLine="0"/>
              <w:jc w:val="left"/>
            </w:pPr>
            <w:r>
              <w:t xml:space="preserve">6 </w:t>
            </w:r>
          </w:p>
        </w:tc>
      </w:tr>
      <w:tr w:rsidR="00462F23" w14:paraId="20A5D006" w14:textId="77777777">
        <w:trPr>
          <w:trHeight w:val="286"/>
        </w:trPr>
        <w:tc>
          <w:tcPr>
            <w:tcW w:w="7826" w:type="dxa"/>
            <w:gridSpan w:val="3"/>
            <w:tcBorders>
              <w:top w:val="single" w:sz="4" w:space="0" w:color="000000"/>
              <w:left w:val="single" w:sz="4" w:space="0" w:color="000000"/>
              <w:bottom w:val="single" w:sz="4" w:space="0" w:color="000000"/>
              <w:right w:val="single" w:sz="4" w:space="0" w:color="000000"/>
            </w:tcBorders>
          </w:tcPr>
          <w:p w14:paraId="123BF154" w14:textId="77777777" w:rsidR="00462F23" w:rsidRDefault="00000000">
            <w:pPr>
              <w:spacing w:after="0" w:line="259" w:lineRule="auto"/>
              <w:ind w:left="0" w:firstLine="0"/>
              <w:jc w:val="left"/>
            </w:pPr>
            <w:r>
              <w:t xml:space="preserve"> Total specified Credit                                                                        96 </w:t>
            </w:r>
          </w:p>
        </w:tc>
      </w:tr>
    </w:tbl>
    <w:p w14:paraId="5AEB7CB5" w14:textId="77777777" w:rsidR="00462F23" w:rsidRDefault="00000000">
      <w:pPr>
        <w:spacing w:after="158" w:line="259" w:lineRule="auto"/>
        <w:ind w:left="0" w:firstLine="0"/>
        <w:jc w:val="left"/>
      </w:pPr>
      <w:r>
        <w:rPr>
          <w:color w:val="4472C4"/>
        </w:rPr>
        <w:t xml:space="preserve"> </w:t>
      </w:r>
    </w:p>
    <w:p w14:paraId="171C0200" w14:textId="77777777" w:rsidR="00462F23" w:rsidRDefault="00000000">
      <w:pPr>
        <w:spacing w:after="0" w:line="259" w:lineRule="auto"/>
        <w:ind w:left="360" w:firstLine="0"/>
        <w:jc w:val="left"/>
      </w:pPr>
      <w:r>
        <w:t xml:space="preserve"> </w:t>
      </w:r>
    </w:p>
    <w:sectPr w:rsidR="00462F23">
      <w:pgSz w:w="11906" w:h="16838"/>
      <w:pgMar w:top="1440" w:right="1426" w:bottom="164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7BB"/>
    <w:multiLevelType w:val="hybridMultilevel"/>
    <w:tmpl w:val="B68A7D92"/>
    <w:lvl w:ilvl="0" w:tplc="D7DE109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7058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7CF2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22673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A627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0690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2854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AC57F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626C1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304006"/>
    <w:multiLevelType w:val="hybridMultilevel"/>
    <w:tmpl w:val="C996F40A"/>
    <w:lvl w:ilvl="0" w:tplc="B95E041E">
      <w:start w:val="1"/>
      <w:numFmt w:val="decimal"/>
      <w:lvlText w:val="%1."/>
      <w:lvlJc w:val="left"/>
      <w:pPr>
        <w:ind w:left="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864CF0">
      <w:start w:val="1"/>
      <w:numFmt w:val="lowerLetter"/>
      <w:lvlText w:val="%2"/>
      <w:lvlJc w:val="left"/>
      <w:pPr>
        <w:ind w:left="1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705D48">
      <w:start w:val="1"/>
      <w:numFmt w:val="lowerRoman"/>
      <w:lvlText w:val="%3"/>
      <w:lvlJc w:val="left"/>
      <w:pPr>
        <w:ind w:left="1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DC4D82">
      <w:start w:val="1"/>
      <w:numFmt w:val="decimal"/>
      <w:lvlText w:val="%4"/>
      <w:lvlJc w:val="left"/>
      <w:pPr>
        <w:ind w:left="2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3C0C88">
      <w:start w:val="1"/>
      <w:numFmt w:val="lowerLetter"/>
      <w:lvlText w:val="%5"/>
      <w:lvlJc w:val="left"/>
      <w:pPr>
        <w:ind w:left="3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A2E9F2">
      <w:start w:val="1"/>
      <w:numFmt w:val="lowerRoman"/>
      <w:lvlText w:val="%6"/>
      <w:lvlJc w:val="left"/>
      <w:pPr>
        <w:ind w:left="4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D44A30">
      <w:start w:val="1"/>
      <w:numFmt w:val="decimal"/>
      <w:lvlText w:val="%7"/>
      <w:lvlJc w:val="left"/>
      <w:pPr>
        <w:ind w:left="4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38554A">
      <w:start w:val="1"/>
      <w:numFmt w:val="lowerLetter"/>
      <w:lvlText w:val="%8"/>
      <w:lvlJc w:val="left"/>
      <w:pPr>
        <w:ind w:left="5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BE0656">
      <w:start w:val="1"/>
      <w:numFmt w:val="lowerRoman"/>
      <w:lvlText w:val="%9"/>
      <w:lvlJc w:val="left"/>
      <w:pPr>
        <w:ind w:left="6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A31553"/>
    <w:multiLevelType w:val="hybridMultilevel"/>
    <w:tmpl w:val="800E083E"/>
    <w:lvl w:ilvl="0" w:tplc="A4502CE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E65C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4FA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B004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C0A7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C12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455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8001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0C4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632ADD"/>
    <w:multiLevelType w:val="hybridMultilevel"/>
    <w:tmpl w:val="3FAC0F1C"/>
    <w:lvl w:ilvl="0" w:tplc="201E7842">
      <w:start w:val="1"/>
      <w:numFmt w:val="bullet"/>
      <w:lvlText w:val="▪"/>
      <w:lvlJc w:val="left"/>
      <w:pPr>
        <w:ind w:left="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62477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EC6947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180E3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4F6E51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84C83F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F720B1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5F26A5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9A0076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BA7189"/>
    <w:multiLevelType w:val="hybridMultilevel"/>
    <w:tmpl w:val="BB8A4DEE"/>
    <w:lvl w:ilvl="0" w:tplc="073E24DA">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A744598">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D3AAEB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F92486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A7C1D1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CDA70F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4E89BB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A4CBBE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D72480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7DC22DB"/>
    <w:multiLevelType w:val="hybridMultilevel"/>
    <w:tmpl w:val="667AE19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2225E5"/>
    <w:multiLevelType w:val="hybridMultilevel"/>
    <w:tmpl w:val="F5009B64"/>
    <w:lvl w:ilvl="0" w:tplc="B36E2D08">
      <w:start w:val="1"/>
      <w:numFmt w:val="bullet"/>
      <w:lvlText w:val="•"/>
      <w:lvlJc w:val="left"/>
      <w:pPr>
        <w:ind w:left="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029FFA">
      <w:start w:val="1"/>
      <w:numFmt w:val="bullet"/>
      <w:lvlText w:val="o"/>
      <w:lvlJc w:val="left"/>
      <w:pPr>
        <w:ind w:left="1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4C5D20">
      <w:start w:val="1"/>
      <w:numFmt w:val="bullet"/>
      <w:lvlText w:val="▪"/>
      <w:lvlJc w:val="left"/>
      <w:pPr>
        <w:ind w:left="18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78B2D2">
      <w:start w:val="1"/>
      <w:numFmt w:val="bullet"/>
      <w:lvlText w:val="•"/>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C4BE8E">
      <w:start w:val="1"/>
      <w:numFmt w:val="bullet"/>
      <w:lvlText w:val="o"/>
      <w:lvlJc w:val="left"/>
      <w:pPr>
        <w:ind w:left="3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4A61EE">
      <w:start w:val="1"/>
      <w:numFmt w:val="bullet"/>
      <w:lvlText w:val="▪"/>
      <w:lvlJc w:val="left"/>
      <w:pPr>
        <w:ind w:left="39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8AFFE2">
      <w:start w:val="1"/>
      <w:numFmt w:val="bullet"/>
      <w:lvlText w:val="•"/>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70C5E0">
      <w:start w:val="1"/>
      <w:numFmt w:val="bullet"/>
      <w:lvlText w:val="o"/>
      <w:lvlJc w:val="left"/>
      <w:pPr>
        <w:ind w:left="5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966832">
      <w:start w:val="1"/>
      <w:numFmt w:val="bullet"/>
      <w:lvlText w:val="▪"/>
      <w:lvlJc w:val="left"/>
      <w:pPr>
        <w:ind w:left="61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57742E"/>
    <w:multiLevelType w:val="hybridMultilevel"/>
    <w:tmpl w:val="A5E27D78"/>
    <w:lvl w:ilvl="0" w:tplc="DAD82276">
      <w:start w:val="1"/>
      <w:numFmt w:val="decimal"/>
      <w:lvlText w:val="%1."/>
      <w:lvlJc w:val="left"/>
      <w:pPr>
        <w:ind w:left="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743FC2">
      <w:start w:val="1"/>
      <w:numFmt w:val="lowerLetter"/>
      <w:lvlText w:val="%2"/>
      <w:lvlJc w:val="left"/>
      <w:pPr>
        <w:ind w:left="1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6CF382">
      <w:start w:val="1"/>
      <w:numFmt w:val="lowerRoman"/>
      <w:lvlText w:val="%3"/>
      <w:lvlJc w:val="left"/>
      <w:pPr>
        <w:ind w:left="1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823AB0">
      <w:start w:val="1"/>
      <w:numFmt w:val="decimal"/>
      <w:lvlText w:val="%4"/>
      <w:lvlJc w:val="left"/>
      <w:pPr>
        <w:ind w:left="2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9ECD72">
      <w:start w:val="1"/>
      <w:numFmt w:val="lowerLetter"/>
      <w:lvlText w:val="%5"/>
      <w:lvlJc w:val="left"/>
      <w:pPr>
        <w:ind w:left="3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78436E">
      <w:start w:val="1"/>
      <w:numFmt w:val="lowerRoman"/>
      <w:lvlText w:val="%6"/>
      <w:lvlJc w:val="left"/>
      <w:pPr>
        <w:ind w:left="4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6CFD16">
      <w:start w:val="1"/>
      <w:numFmt w:val="decimal"/>
      <w:lvlText w:val="%7"/>
      <w:lvlJc w:val="left"/>
      <w:pPr>
        <w:ind w:left="4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4F7C0">
      <w:start w:val="1"/>
      <w:numFmt w:val="lowerLetter"/>
      <w:lvlText w:val="%8"/>
      <w:lvlJc w:val="left"/>
      <w:pPr>
        <w:ind w:left="5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203954">
      <w:start w:val="1"/>
      <w:numFmt w:val="lowerRoman"/>
      <w:lvlText w:val="%9"/>
      <w:lvlJc w:val="left"/>
      <w:pPr>
        <w:ind w:left="6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E1F4091"/>
    <w:multiLevelType w:val="hybridMultilevel"/>
    <w:tmpl w:val="76F63FCC"/>
    <w:lvl w:ilvl="0" w:tplc="0010C244">
      <w:start w:val="1"/>
      <w:numFmt w:val="bullet"/>
      <w:lvlText w:val="•"/>
      <w:lvlJc w:val="left"/>
      <w:pPr>
        <w:ind w:left="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30FEA0">
      <w:start w:val="1"/>
      <w:numFmt w:val="bullet"/>
      <w:lvlText w:val="o"/>
      <w:lvlJc w:val="left"/>
      <w:pPr>
        <w:ind w:left="1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84DC56">
      <w:start w:val="1"/>
      <w:numFmt w:val="bullet"/>
      <w:lvlText w:val="▪"/>
      <w:lvlJc w:val="left"/>
      <w:pPr>
        <w:ind w:left="18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B21A44">
      <w:start w:val="1"/>
      <w:numFmt w:val="bullet"/>
      <w:lvlText w:val="•"/>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5437DE">
      <w:start w:val="1"/>
      <w:numFmt w:val="bullet"/>
      <w:lvlText w:val="o"/>
      <w:lvlJc w:val="left"/>
      <w:pPr>
        <w:ind w:left="3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56F07C">
      <w:start w:val="1"/>
      <w:numFmt w:val="bullet"/>
      <w:lvlText w:val="▪"/>
      <w:lvlJc w:val="left"/>
      <w:pPr>
        <w:ind w:left="39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3AAC48">
      <w:start w:val="1"/>
      <w:numFmt w:val="bullet"/>
      <w:lvlText w:val="•"/>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06457A">
      <w:start w:val="1"/>
      <w:numFmt w:val="bullet"/>
      <w:lvlText w:val="o"/>
      <w:lvlJc w:val="left"/>
      <w:pPr>
        <w:ind w:left="5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873E4">
      <w:start w:val="1"/>
      <w:numFmt w:val="bullet"/>
      <w:lvlText w:val="▪"/>
      <w:lvlJc w:val="left"/>
      <w:pPr>
        <w:ind w:left="61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84338388">
    <w:abstractNumId w:val="3"/>
  </w:num>
  <w:num w:numId="2" w16cid:durableId="55903926">
    <w:abstractNumId w:val="2"/>
  </w:num>
  <w:num w:numId="3" w16cid:durableId="1142044927">
    <w:abstractNumId w:val="4"/>
  </w:num>
  <w:num w:numId="4" w16cid:durableId="856387952">
    <w:abstractNumId w:val="0"/>
  </w:num>
  <w:num w:numId="5" w16cid:durableId="1976787905">
    <w:abstractNumId w:val="1"/>
  </w:num>
  <w:num w:numId="6" w16cid:durableId="384523961">
    <w:abstractNumId w:val="7"/>
  </w:num>
  <w:num w:numId="7" w16cid:durableId="170609389">
    <w:abstractNumId w:val="5"/>
  </w:num>
  <w:num w:numId="8" w16cid:durableId="1978560481">
    <w:abstractNumId w:val="6"/>
  </w:num>
  <w:num w:numId="9" w16cid:durableId="1328443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F23"/>
    <w:rsid w:val="00090085"/>
    <w:rsid w:val="000B7E79"/>
    <w:rsid w:val="002B1B84"/>
    <w:rsid w:val="003B626A"/>
    <w:rsid w:val="003B7256"/>
    <w:rsid w:val="00406262"/>
    <w:rsid w:val="00462F23"/>
    <w:rsid w:val="00612A42"/>
    <w:rsid w:val="009155A8"/>
    <w:rsid w:val="0093329E"/>
    <w:rsid w:val="009A4B7A"/>
    <w:rsid w:val="00A84ED7"/>
    <w:rsid w:val="00B25D5C"/>
    <w:rsid w:val="00EA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322A3"/>
  <w15:docId w15:val="{0EA15F21-808C-4787-B78E-B2023138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5" w:line="268" w:lineRule="auto"/>
      <w:ind w:left="37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B25D5C"/>
    <w:pPr>
      <w:keepNext/>
      <w:keepLines/>
      <w:spacing w:after="0" w:line="259" w:lineRule="auto"/>
      <w:ind w:left="10" w:right="4" w:hanging="10"/>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B25D5C"/>
    <w:rPr>
      <w:rFonts w:ascii="Arial" w:eastAsia="Arial" w:hAnsi="Arial" w:cs="Arial"/>
      <w:b/>
      <w:color w:val="000000"/>
      <w:sz w:val="28"/>
    </w:rPr>
  </w:style>
  <w:style w:type="paragraph" w:styleId="ListParagraph">
    <w:name w:val="List Paragraph"/>
    <w:basedOn w:val="Normal"/>
    <w:uiPriority w:val="34"/>
    <w:qFormat/>
    <w:rsid w:val="00A84ED7"/>
    <w:pPr>
      <w:ind w:left="720"/>
      <w:contextualSpacing/>
    </w:pPr>
  </w:style>
  <w:style w:type="table" w:styleId="TableGrid0">
    <w:name w:val="Table Grid"/>
    <w:basedOn w:val="TableNormal"/>
    <w:uiPriority w:val="39"/>
    <w:rsid w:val="000B7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1B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uments.uow.edu.au/content/groups/public/@web/@gov/documents/doc/uow273695.pdf" TargetMode="External"/><Relationship Id="rId3" Type="http://schemas.openxmlformats.org/officeDocument/2006/relationships/settings" Target="settings.xml"/><Relationship Id="rId7" Type="http://schemas.openxmlformats.org/officeDocument/2006/relationships/hyperlink" Target="https://documents.uow.edu.au/content/groups/public/@web/@gov/documents/doc/uow27369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uments.uow.edu.au/content/groups/public/@web/@gov/documents/doc/uow2736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839</Words>
  <Characters>4628</Characters>
  <Application>Microsoft Office Word</Application>
  <DocSecurity>0</DocSecurity>
  <Lines>210</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Esmot Ara Choity</dc:creator>
  <cp:keywords/>
  <cp:lastModifiedBy>Esmot Ara Choity</cp:lastModifiedBy>
  <cp:revision>2</cp:revision>
  <dcterms:created xsi:type="dcterms:W3CDTF">2025-08-11T04:54:00Z</dcterms:created>
  <dcterms:modified xsi:type="dcterms:W3CDTF">2025-08-11T04:54:00Z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421da8cc-65fe-44dc-9210-5bc38bf96e80</vt:lpwstr>
  </property>
</Properties>
</file>